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4E5E" w14:textId="77777777" w:rsidR="00A93F61" w:rsidRPr="00401935" w:rsidRDefault="00A93F61" w:rsidP="00401935">
      <w:pPr>
        <w:pStyle w:val="Heading3"/>
        <w:tabs>
          <w:tab w:val="clear" w:pos="709"/>
          <w:tab w:val="left" w:pos="0"/>
        </w:tabs>
        <w:spacing w:after="0"/>
        <w:ind w:left="0" w:firstLine="0"/>
        <w:jc w:val="left"/>
      </w:pPr>
      <w:r w:rsidRPr="00A36D53">
        <w:t xml:space="preserve">Example </w:t>
      </w:r>
      <w:r>
        <w:t>r</w:t>
      </w:r>
      <w:r w:rsidRPr="00A36D53">
        <w:t>esolution</w:t>
      </w:r>
      <w:r>
        <w:t xml:space="preserve"> </w:t>
      </w:r>
      <w:r w:rsidR="005C6F41">
        <w:t>2</w:t>
      </w:r>
      <w:r>
        <w:t xml:space="preserve"> – </w:t>
      </w:r>
      <w:r w:rsidR="00F9173B">
        <w:t xml:space="preserve">Determination and distribution of income </w:t>
      </w:r>
      <w:r>
        <w:t xml:space="preserve">(NTAA Corporate </w:t>
      </w:r>
      <w:r w:rsidR="005B5A2E">
        <w:t xml:space="preserve">Discretionary </w:t>
      </w:r>
      <w:r w:rsidR="00685F71">
        <w:t>T</w:t>
      </w:r>
      <w:r w:rsidR="005B5A2E">
        <w:t>rust Deed</w:t>
      </w:r>
      <w:r>
        <w:t xml:space="preserve">, </w:t>
      </w:r>
      <w:r w:rsidRPr="00A36D53">
        <w:t xml:space="preserve">income streaming, </w:t>
      </w:r>
      <w:r>
        <w:t>modifying trust income to include capital gain</w:t>
      </w:r>
      <w:r w:rsidR="00936C51">
        <w:t>s</w:t>
      </w:r>
      <w:r w:rsidR="008D49A5">
        <w:t xml:space="preserve">, if any) </w:t>
      </w:r>
    </w:p>
    <w:p w14:paraId="295B3C2C" w14:textId="77777777" w:rsidR="00F9173B" w:rsidRPr="00E04C9C" w:rsidRDefault="00F9173B" w:rsidP="00A93F61">
      <w:pPr>
        <w:tabs>
          <w:tab w:val="left" w:pos="-990"/>
          <w:tab w:val="left" w:pos="0"/>
        </w:tabs>
        <w:jc w:val="both"/>
        <w:rPr>
          <w:rFonts w:ascii="Arial" w:hAnsi="Arial" w:cs="Arial"/>
          <w:b/>
          <w:i/>
          <w:sz w:val="21"/>
          <w:szCs w:val="21"/>
        </w:rPr>
      </w:pPr>
    </w:p>
    <w:p w14:paraId="2C203D86" w14:textId="77777777" w:rsidR="00A93F61" w:rsidRPr="00E04C9C" w:rsidRDefault="004F2655" w:rsidP="00A93F61">
      <w:pPr>
        <w:tabs>
          <w:tab w:val="left" w:pos="-990"/>
          <w:tab w:val="left" w:pos="0"/>
        </w:tabs>
        <w:jc w:val="center"/>
        <w:rPr>
          <w:rFonts w:ascii="Arial" w:hAnsi="Arial" w:cs="Arial"/>
          <w:b/>
          <w:sz w:val="21"/>
          <w:szCs w:val="21"/>
        </w:rPr>
      </w:pPr>
      <w:r>
        <w:rPr>
          <w:rFonts w:ascii="Arial" w:hAnsi="Arial" w:cs="Arial"/>
          <w:b/>
          <w:sz w:val="21"/>
          <w:szCs w:val="21"/>
        </w:rPr>
        <w:t>HAPPY</w:t>
      </w:r>
      <w:r w:rsidR="00A93F61" w:rsidRPr="00E04C9C">
        <w:rPr>
          <w:rFonts w:ascii="Arial" w:hAnsi="Arial" w:cs="Arial"/>
          <w:b/>
          <w:sz w:val="21"/>
          <w:szCs w:val="21"/>
        </w:rPr>
        <w:t xml:space="preserve"> FAMILY CO PTY LTD</w:t>
      </w:r>
    </w:p>
    <w:p w14:paraId="6BE519D7" w14:textId="77777777" w:rsidR="00A93F61" w:rsidRPr="00E04C9C" w:rsidRDefault="00533DD3" w:rsidP="00533DD3">
      <w:pPr>
        <w:tabs>
          <w:tab w:val="left" w:pos="-990"/>
          <w:tab w:val="left" w:pos="0"/>
          <w:tab w:val="center" w:pos="4535"/>
          <w:tab w:val="left" w:pos="7474"/>
        </w:tabs>
        <w:rPr>
          <w:rFonts w:ascii="Arial" w:hAnsi="Arial" w:cs="Arial"/>
          <w:b/>
          <w:sz w:val="21"/>
          <w:szCs w:val="21"/>
        </w:rPr>
      </w:pPr>
      <w:r w:rsidRPr="00E04C9C">
        <w:rPr>
          <w:rFonts w:ascii="Arial" w:hAnsi="Arial" w:cs="Arial"/>
          <w:b/>
          <w:sz w:val="21"/>
          <w:szCs w:val="21"/>
        </w:rPr>
        <w:tab/>
      </w:r>
      <w:r w:rsidR="00A93F61" w:rsidRPr="00E04C9C">
        <w:rPr>
          <w:rFonts w:ascii="Arial" w:hAnsi="Arial" w:cs="Arial"/>
          <w:b/>
          <w:sz w:val="21"/>
          <w:szCs w:val="21"/>
        </w:rPr>
        <w:t xml:space="preserve">A.C.N. </w:t>
      </w:r>
      <w:r w:rsidR="004F2655">
        <w:rPr>
          <w:rFonts w:ascii="Arial" w:hAnsi="Arial" w:cs="Arial"/>
          <w:b/>
          <w:sz w:val="21"/>
          <w:szCs w:val="21"/>
        </w:rPr>
        <w:t>321</w:t>
      </w:r>
      <w:r w:rsidR="00A93F61" w:rsidRPr="00E04C9C">
        <w:rPr>
          <w:rFonts w:ascii="Arial" w:hAnsi="Arial" w:cs="Arial"/>
          <w:b/>
          <w:sz w:val="21"/>
          <w:szCs w:val="21"/>
        </w:rPr>
        <w:t xml:space="preserve"> </w:t>
      </w:r>
      <w:r w:rsidR="004F2655">
        <w:rPr>
          <w:rFonts w:ascii="Arial" w:hAnsi="Arial" w:cs="Arial"/>
          <w:b/>
          <w:sz w:val="21"/>
          <w:szCs w:val="21"/>
        </w:rPr>
        <w:t>654</w:t>
      </w:r>
      <w:r w:rsidR="00A93F61" w:rsidRPr="00E04C9C">
        <w:rPr>
          <w:rFonts w:ascii="Arial" w:hAnsi="Arial" w:cs="Arial"/>
          <w:b/>
          <w:sz w:val="21"/>
          <w:szCs w:val="21"/>
        </w:rPr>
        <w:t xml:space="preserve"> </w:t>
      </w:r>
      <w:r w:rsidR="004F2655">
        <w:rPr>
          <w:rFonts w:ascii="Arial" w:hAnsi="Arial" w:cs="Arial"/>
          <w:b/>
          <w:sz w:val="21"/>
          <w:szCs w:val="21"/>
        </w:rPr>
        <w:t>987</w:t>
      </w:r>
      <w:r w:rsidRPr="00E04C9C">
        <w:rPr>
          <w:rFonts w:ascii="Arial" w:hAnsi="Arial" w:cs="Arial"/>
          <w:b/>
          <w:sz w:val="21"/>
          <w:szCs w:val="21"/>
        </w:rPr>
        <w:tab/>
      </w:r>
    </w:p>
    <w:p w14:paraId="4F1D36FB" w14:textId="77777777" w:rsidR="00A93F61" w:rsidRPr="00E04C9C" w:rsidRDefault="00A93F61" w:rsidP="00A93F61">
      <w:pPr>
        <w:tabs>
          <w:tab w:val="left" w:pos="-990"/>
          <w:tab w:val="left" w:pos="0"/>
        </w:tabs>
        <w:jc w:val="center"/>
        <w:rPr>
          <w:rFonts w:ascii="Arial" w:hAnsi="Arial" w:cs="Arial"/>
          <w:b/>
          <w:sz w:val="21"/>
          <w:szCs w:val="21"/>
        </w:rPr>
      </w:pPr>
      <w:r w:rsidRPr="00E04C9C">
        <w:rPr>
          <w:rFonts w:ascii="Arial" w:hAnsi="Arial" w:cs="Arial"/>
          <w:b/>
          <w:sz w:val="21"/>
          <w:szCs w:val="21"/>
        </w:rPr>
        <w:t xml:space="preserve">AS TRUSTEE FOR THE </w:t>
      </w:r>
      <w:r w:rsidR="004F2655">
        <w:rPr>
          <w:rFonts w:ascii="Arial" w:hAnsi="Arial" w:cs="Arial"/>
          <w:b/>
          <w:sz w:val="21"/>
          <w:szCs w:val="21"/>
        </w:rPr>
        <w:t>HAPPY</w:t>
      </w:r>
      <w:r w:rsidRPr="00E04C9C">
        <w:rPr>
          <w:rFonts w:ascii="Arial" w:hAnsi="Arial" w:cs="Arial"/>
          <w:b/>
          <w:sz w:val="21"/>
          <w:szCs w:val="21"/>
        </w:rPr>
        <w:t xml:space="preserve"> FAMILY TRUST</w:t>
      </w:r>
    </w:p>
    <w:p w14:paraId="2ED307FD" w14:textId="77777777" w:rsidR="00A93F61" w:rsidRPr="00E04C9C" w:rsidRDefault="00A93F61" w:rsidP="00A93F61">
      <w:pPr>
        <w:tabs>
          <w:tab w:val="left" w:pos="-990"/>
          <w:tab w:val="left" w:pos="0"/>
        </w:tabs>
        <w:jc w:val="center"/>
        <w:rPr>
          <w:rFonts w:ascii="Arial" w:hAnsi="Arial" w:cs="Arial"/>
          <w:b/>
          <w:sz w:val="21"/>
          <w:szCs w:val="21"/>
        </w:rPr>
      </w:pPr>
      <w:r w:rsidRPr="00E04C9C">
        <w:rPr>
          <w:rFonts w:ascii="Arial" w:hAnsi="Arial" w:cs="Arial"/>
          <w:b/>
          <w:sz w:val="21"/>
          <w:szCs w:val="21"/>
        </w:rPr>
        <w:t>RESOLUTIONS OF DIRECTORS</w:t>
      </w:r>
    </w:p>
    <w:p w14:paraId="70E62F5A" w14:textId="77777777" w:rsidR="00A93F61" w:rsidRPr="00E04C9C" w:rsidRDefault="00A93F61" w:rsidP="00401935">
      <w:pPr>
        <w:tabs>
          <w:tab w:val="left" w:pos="-990"/>
          <w:tab w:val="left" w:pos="0"/>
        </w:tabs>
        <w:spacing w:after="120"/>
        <w:jc w:val="both"/>
        <w:rPr>
          <w:rFonts w:ascii="Arial" w:hAnsi="Arial" w:cs="Arial"/>
          <w:sz w:val="21"/>
          <w:szCs w:val="21"/>
        </w:rPr>
      </w:pPr>
    </w:p>
    <w:p w14:paraId="49B3839C" w14:textId="711970FB" w:rsidR="00A93F61" w:rsidRPr="00E04C9C" w:rsidRDefault="00A93F61" w:rsidP="00A93F61">
      <w:pPr>
        <w:tabs>
          <w:tab w:val="left" w:pos="-990"/>
          <w:tab w:val="left" w:pos="0"/>
          <w:tab w:val="left" w:pos="2160"/>
        </w:tabs>
        <w:ind w:left="2835" w:hanging="2835"/>
        <w:jc w:val="both"/>
        <w:rPr>
          <w:rFonts w:ascii="Arial" w:hAnsi="Arial" w:cs="Arial"/>
          <w:sz w:val="21"/>
          <w:szCs w:val="21"/>
        </w:rPr>
      </w:pPr>
      <w:r w:rsidRPr="00E04C9C">
        <w:rPr>
          <w:rFonts w:ascii="Arial" w:hAnsi="Arial" w:cs="Arial"/>
          <w:b/>
          <w:sz w:val="21"/>
          <w:szCs w:val="21"/>
        </w:rPr>
        <w:t>Determination of Income:</w:t>
      </w:r>
      <w:r w:rsidRPr="00E04C9C">
        <w:rPr>
          <w:rFonts w:ascii="Arial" w:hAnsi="Arial" w:cs="Arial"/>
          <w:b/>
          <w:sz w:val="21"/>
          <w:szCs w:val="21"/>
        </w:rPr>
        <w:tab/>
      </w:r>
      <w:r w:rsidR="00F937E1" w:rsidRPr="00E04C9C">
        <w:rPr>
          <w:rFonts w:ascii="Arial" w:hAnsi="Arial" w:cs="Arial"/>
          <w:b/>
          <w:sz w:val="21"/>
          <w:szCs w:val="21"/>
        </w:rPr>
        <w:t>RESOLVED THAT</w:t>
      </w:r>
      <w:r w:rsidR="00F937E1" w:rsidRPr="00E04C9C">
        <w:rPr>
          <w:rFonts w:ascii="Arial" w:hAnsi="Arial" w:cs="Arial"/>
          <w:sz w:val="21"/>
          <w:szCs w:val="21"/>
        </w:rPr>
        <w:t xml:space="preserve">, </w:t>
      </w:r>
      <w:r w:rsidR="0084643D" w:rsidRPr="00E04C9C">
        <w:rPr>
          <w:rFonts w:ascii="Arial" w:hAnsi="Arial" w:cs="Arial"/>
          <w:sz w:val="21"/>
          <w:szCs w:val="21"/>
        </w:rPr>
        <w:t xml:space="preserve">in exercise of the power under </w:t>
      </w:r>
      <w:r w:rsidRPr="00E04C9C">
        <w:rPr>
          <w:rFonts w:ascii="Arial" w:hAnsi="Arial" w:cs="Arial"/>
          <w:sz w:val="21"/>
          <w:szCs w:val="21"/>
        </w:rPr>
        <w:t xml:space="preserve">the Trust Deed and </w:t>
      </w:r>
      <w:r w:rsidR="0084643D" w:rsidRPr="00E04C9C">
        <w:rPr>
          <w:rFonts w:ascii="Arial" w:hAnsi="Arial" w:cs="Arial"/>
          <w:sz w:val="21"/>
          <w:szCs w:val="21"/>
        </w:rPr>
        <w:t xml:space="preserve">every </w:t>
      </w:r>
      <w:r w:rsidRPr="00E04C9C">
        <w:rPr>
          <w:rFonts w:ascii="Arial" w:hAnsi="Arial" w:cs="Arial"/>
          <w:sz w:val="21"/>
          <w:szCs w:val="21"/>
        </w:rPr>
        <w:t xml:space="preserve">other power enabling it, the Trustee determines that the income of the Trust for the year ending 30 June </w:t>
      </w:r>
      <w:r w:rsidR="00D80574" w:rsidRPr="00E04C9C">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Pr="00E04C9C">
        <w:rPr>
          <w:rFonts w:ascii="Arial" w:hAnsi="Arial" w:cs="Arial"/>
          <w:sz w:val="21"/>
          <w:szCs w:val="21"/>
        </w:rPr>
        <w:t xml:space="preserve"> comprises:</w:t>
      </w:r>
    </w:p>
    <w:p w14:paraId="06CCD184" w14:textId="77777777" w:rsidR="00C57C72" w:rsidRPr="00E04C9C" w:rsidRDefault="00C57C72" w:rsidP="00C57C72">
      <w:pPr>
        <w:tabs>
          <w:tab w:val="left" w:pos="-990"/>
          <w:tab w:val="left" w:pos="0"/>
          <w:tab w:val="left" w:pos="2160"/>
        </w:tabs>
        <w:ind w:left="2835" w:hanging="2835"/>
        <w:jc w:val="both"/>
        <w:rPr>
          <w:rFonts w:ascii="Arial" w:hAnsi="Arial" w:cs="Arial"/>
          <w:sz w:val="21"/>
          <w:szCs w:val="21"/>
        </w:rPr>
      </w:pPr>
    </w:p>
    <w:p w14:paraId="7A8E6042" w14:textId="204850D3" w:rsidR="00C57C72" w:rsidRPr="00E04C9C" w:rsidRDefault="00C57C72" w:rsidP="007A461F">
      <w:pPr>
        <w:numPr>
          <w:ilvl w:val="0"/>
          <w:numId w:val="6"/>
        </w:numPr>
        <w:tabs>
          <w:tab w:val="left" w:pos="-990"/>
          <w:tab w:val="left" w:pos="0"/>
          <w:tab w:val="left" w:pos="2160"/>
        </w:tabs>
        <w:spacing w:after="120"/>
        <w:ind w:left="3192" w:hanging="357"/>
        <w:jc w:val="both"/>
        <w:rPr>
          <w:rFonts w:ascii="Arial" w:hAnsi="Arial" w:cs="Arial"/>
          <w:sz w:val="21"/>
          <w:szCs w:val="21"/>
        </w:rPr>
      </w:pPr>
      <w:r w:rsidRPr="00E04C9C">
        <w:rPr>
          <w:rFonts w:ascii="Arial" w:hAnsi="Arial" w:cs="Arial"/>
          <w:sz w:val="21"/>
          <w:szCs w:val="21"/>
        </w:rPr>
        <w:t>all those amounts being income for the purposes of the accounting records of the Trust (</w:t>
      </w:r>
      <w:r w:rsidR="009F0DE8">
        <w:rPr>
          <w:rFonts w:ascii="Arial" w:hAnsi="Arial" w:cs="Arial"/>
          <w:sz w:val="21"/>
          <w:szCs w:val="21"/>
        </w:rPr>
        <w:t>‘</w:t>
      </w:r>
      <w:r w:rsidRPr="00E04C9C">
        <w:rPr>
          <w:rFonts w:ascii="Arial" w:hAnsi="Arial" w:cs="Arial"/>
          <w:sz w:val="21"/>
          <w:szCs w:val="21"/>
        </w:rPr>
        <w:t>Accounting Records</w:t>
      </w:r>
      <w:r w:rsidR="009F0DE8">
        <w:rPr>
          <w:rFonts w:ascii="Arial" w:hAnsi="Arial" w:cs="Arial"/>
          <w:sz w:val="21"/>
          <w:szCs w:val="21"/>
        </w:rPr>
        <w:t>’</w:t>
      </w:r>
      <w:r w:rsidRPr="00E04C9C">
        <w:rPr>
          <w:rFonts w:ascii="Arial" w:hAnsi="Arial" w:cs="Arial"/>
          <w:sz w:val="21"/>
          <w:szCs w:val="21"/>
        </w:rPr>
        <w:t xml:space="preserve">), less the expenses and outgoings of the Trust for the year ending 30 June </w:t>
      </w:r>
      <w:r w:rsidR="00D80574" w:rsidRPr="00E04C9C">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Pr="00E04C9C">
        <w:rPr>
          <w:rFonts w:ascii="Arial" w:hAnsi="Arial" w:cs="Arial"/>
          <w:sz w:val="21"/>
          <w:szCs w:val="21"/>
        </w:rPr>
        <w:t xml:space="preserve"> attributed to those amounts </w:t>
      </w:r>
      <w:r w:rsidR="00D91312" w:rsidRPr="00E04C9C">
        <w:rPr>
          <w:rFonts w:ascii="Arial" w:hAnsi="Arial" w:cs="Arial"/>
          <w:sz w:val="21"/>
          <w:szCs w:val="21"/>
        </w:rPr>
        <w:t xml:space="preserve">for </w:t>
      </w:r>
      <w:r w:rsidRPr="00E04C9C">
        <w:rPr>
          <w:rFonts w:ascii="Arial" w:hAnsi="Arial" w:cs="Arial"/>
          <w:sz w:val="21"/>
          <w:szCs w:val="21"/>
        </w:rPr>
        <w:t xml:space="preserve">the </w:t>
      </w:r>
      <w:r w:rsidR="00D91312" w:rsidRPr="00E04C9C">
        <w:rPr>
          <w:rFonts w:ascii="Arial" w:hAnsi="Arial" w:cs="Arial"/>
          <w:sz w:val="21"/>
          <w:szCs w:val="21"/>
        </w:rPr>
        <w:t>purpose</w:t>
      </w:r>
      <w:r w:rsidR="00687646" w:rsidRPr="00E04C9C">
        <w:rPr>
          <w:rFonts w:ascii="Arial" w:hAnsi="Arial" w:cs="Arial"/>
          <w:sz w:val="21"/>
          <w:szCs w:val="21"/>
        </w:rPr>
        <w:t>s</w:t>
      </w:r>
      <w:r w:rsidR="00D91312" w:rsidRPr="00E04C9C">
        <w:rPr>
          <w:rFonts w:ascii="Arial" w:hAnsi="Arial" w:cs="Arial"/>
          <w:sz w:val="21"/>
          <w:szCs w:val="21"/>
        </w:rPr>
        <w:t xml:space="preserve"> of the </w:t>
      </w:r>
      <w:r w:rsidRPr="00E04C9C">
        <w:rPr>
          <w:rFonts w:ascii="Arial" w:hAnsi="Arial" w:cs="Arial"/>
          <w:sz w:val="21"/>
          <w:szCs w:val="21"/>
        </w:rPr>
        <w:t xml:space="preserve">Accounting Records, in each case whether recorded in the Accounting Records by or after 30 June </w:t>
      </w:r>
      <w:r w:rsidR="00D80574" w:rsidRPr="00E04C9C">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Pr="00E04C9C">
        <w:rPr>
          <w:rFonts w:ascii="Arial" w:hAnsi="Arial" w:cs="Arial"/>
          <w:sz w:val="21"/>
          <w:szCs w:val="21"/>
        </w:rPr>
        <w:t xml:space="preserve">, other than amounts included under paragraph (b) below; and </w:t>
      </w:r>
    </w:p>
    <w:p w14:paraId="430FC3BB" w14:textId="1151673A" w:rsidR="00452FC8" w:rsidRPr="00E04C9C" w:rsidRDefault="00F9173B" w:rsidP="007A461F">
      <w:pPr>
        <w:numPr>
          <w:ilvl w:val="0"/>
          <w:numId w:val="6"/>
        </w:numPr>
        <w:tabs>
          <w:tab w:val="left" w:pos="-990"/>
          <w:tab w:val="left" w:pos="0"/>
          <w:tab w:val="left" w:pos="2160"/>
        </w:tabs>
        <w:jc w:val="both"/>
        <w:rPr>
          <w:rFonts w:ascii="Arial" w:hAnsi="Arial" w:cs="Arial"/>
          <w:sz w:val="21"/>
          <w:szCs w:val="21"/>
        </w:rPr>
      </w:pPr>
      <w:r w:rsidRPr="00E04C9C">
        <w:rPr>
          <w:rFonts w:ascii="Arial" w:hAnsi="Arial" w:cs="Arial"/>
          <w:sz w:val="21"/>
          <w:szCs w:val="21"/>
        </w:rPr>
        <w:t xml:space="preserve">the </w:t>
      </w:r>
      <w:r w:rsidR="00452FC8" w:rsidRPr="00E04C9C">
        <w:rPr>
          <w:rFonts w:ascii="Arial" w:hAnsi="Arial" w:cs="Arial"/>
          <w:sz w:val="21"/>
          <w:szCs w:val="21"/>
        </w:rPr>
        <w:t xml:space="preserve">amount </w:t>
      </w:r>
      <w:r w:rsidRPr="00E04C9C">
        <w:rPr>
          <w:rFonts w:ascii="Arial" w:hAnsi="Arial" w:cs="Arial"/>
          <w:sz w:val="21"/>
          <w:szCs w:val="21"/>
        </w:rPr>
        <w:t xml:space="preserve">of </w:t>
      </w:r>
      <w:r w:rsidR="008D49A5" w:rsidRPr="00E04C9C">
        <w:rPr>
          <w:rFonts w:ascii="Arial" w:hAnsi="Arial" w:cs="Arial"/>
          <w:sz w:val="21"/>
          <w:szCs w:val="21"/>
        </w:rPr>
        <w:t xml:space="preserve">each </w:t>
      </w:r>
      <w:r w:rsidR="00452FC8" w:rsidRPr="00E04C9C">
        <w:rPr>
          <w:rFonts w:ascii="Arial" w:hAnsi="Arial" w:cs="Arial"/>
          <w:sz w:val="21"/>
          <w:szCs w:val="21"/>
        </w:rPr>
        <w:t xml:space="preserve">capital gain </w:t>
      </w:r>
      <w:r w:rsidR="00322CC7" w:rsidRPr="00E04C9C">
        <w:rPr>
          <w:rFonts w:ascii="Arial" w:hAnsi="Arial" w:cs="Arial"/>
          <w:sz w:val="21"/>
          <w:szCs w:val="21"/>
        </w:rPr>
        <w:t xml:space="preserve">(as defined under subsection 995-1(1) of the </w:t>
      </w:r>
      <w:r w:rsidR="009F0DE8">
        <w:rPr>
          <w:rFonts w:ascii="Arial" w:hAnsi="Arial" w:cs="Arial"/>
          <w:sz w:val="21"/>
          <w:szCs w:val="21"/>
        </w:rPr>
        <w:t>ITAA</w:t>
      </w:r>
      <w:r w:rsidR="00322CC7" w:rsidRPr="00E04C9C">
        <w:rPr>
          <w:rFonts w:ascii="Arial" w:hAnsi="Arial" w:cs="Arial"/>
          <w:sz w:val="21"/>
          <w:szCs w:val="21"/>
        </w:rPr>
        <w:t xml:space="preserve"> 1997) </w:t>
      </w:r>
      <w:r w:rsidR="00560EB3" w:rsidRPr="00E04C9C">
        <w:rPr>
          <w:rFonts w:ascii="Arial" w:hAnsi="Arial" w:cs="Arial"/>
          <w:sz w:val="21"/>
          <w:szCs w:val="21"/>
        </w:rPr>
        <w:t xml:space="preserve">made in the year ended 30 June </w:t>
      </w:r>
      <w:r w:rsidR="00D80574" w:rsidRPr="00E04C9C">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00560EB3" w:rsidRPr="00E04C9C">
        <w:rPr>
          <w:rFonts w:ascii="Arial" w:hAnsi="Arial" w:cs="Arial"/>
          <w:sz w:val="21"/>
          <w:szCs w:val="21"/>
        </w:rPr>
        <w:t xml:space="preserve"> </w:t>
      </w:r>
      <w:r w:rsidR="00F05F0D" w:rsidRPr="00E04C9C">
        <w:rPr>
          <w:rFonts w:ascii="Arial" w:hAnsi="Arial" w:cs="Arial"/>
          <w:sz w:val="21"/>
          <w:szCs w:val="21"/>
        </w:rPr>
        <w:t xml:space="preserve">remaining </w:t>
      </w:r>
      <w:r w:rsidR="00322CC7" w:rsidRPr="00E04C9C">
        <w:rPr>
          <w:rFonts w:ascii="Arial" w:hAnsi="Arial" w:cs="Arial"/>
          <w:sz w:val="21"/>
          <w:szCs w:val="21"/>
        </w:rPr>
        <w:t xml:space="preserve">after the recoupment </w:t>
      </w:r>
      <w:r w:rsidR="000D0B78" w:rsidRPr="00E04C9C">
        <w:rPr>
          <w:rFonts w:ascii="Arial" w:hAnsi="Arial" w:cs="Arial"/>
          <w:sz w:val="21"/>
          <w:szCs w:val="21"/>
        </w:rPr>
        <w:t xml:space="preserve">for the purposes of the Accounting Records </w:t>
      </w:r>
      <w:r w:rsidR="00322CC7" w:rsidRPr="00E04C9C">
        <w:rPr>
          <w:rFonts w:ascii="Arial" w:hAnsi="Arial" w:cs="Arial"/>
          <w:sz w:val="21"/>
          <w:szCs w:val="21"/>
        </w:rPr>
        <w:t>of any unrecouped current-year or prior-year capital losses</w:t>
      </w:r>
      <w:r w:rsidR="002B625A" w:rsidRPr="00E04C9C">
        <w:rPr>
          <w:rFonts w:ascii="Arial" w:hAnsi="Arial" w:cs="Arial"/>
          <w:sz w:val="21"/>
          <w:szCs w:val="21"/>
        </w:rPr>
        <w:t xml:space="preserve">. </w:t>
      </w:r>
    </w:p>
    <w:p w14:paraId="4ED4AB3C" w14:textId="77777777" w:rsidR="00A93F61" w:rsidRPr="00E04C9C" w:rsidRDefault="00A93F61" w:rsidP="00322CC7">
      <w:pPr>
        <w:tabs>
          <w:tab w:val="left" w:pos="-990"/>
          <w:tab w:val="left" w:pos="0"/>
          <w:tab w:val="left" w:pos="2160"/>
        </w:tabs>
        <w:ind w:left="2835" w:hanging="2835"/>
        <w:jc w:val="both"/>
        <w:rPr>
          <w:rFonts w:ascii="Arial" w:hAnsi="Arial" w:cs="Arial"/>
          <w:b/>
          <w:sz w:val="21"/>
          <w:szCs w:val="21"/>
        </w:rPr>
      </w:pPr>
      <w:r w:rsidRPr="00E04C9C">
        <w:rPr>
          <w:rFonts w:ascii="Arial" w:hAnsi="Arial" w:cs="Arial"/>
          <w:sz w:val="21"/>
          <w:szCs w:val="21"/>
        </w:rPr>
        <w:tab/>
      </w:r>
      <w:r w:rsidRPr="00E04C9C">
        <w:rPr>
          <w:rFonts w:ascii="Arial" w:hAnsi="Arial" w:cs="Arial"/>
          <w:sz w:val="21"/>
          <w:szCs w:val="21"/>
        </w:rPr>
        <w:tab/>
      </w:r>
    </w:p>
    <w:p w14:paraId="4FB9EF84" w14:textId="77777777" w:rsidR="00A93F61" w:rsidRPr="00E04C9C" w:rsidRDefault="00A93F61" w:rsidP="00452FC8">
      <w:pPr>
        <w:tabs>
          <w:tab w:val="left" w:pos="-990"/>
          <w:tab w:val="left" w:pos="0"/>
          <w:tab w:val="left" w:pos="2835"/>
        </w:tabs>
        <w:spacing w:after="120"/>
        <w:ind w:left="2835" w:hanging="2835"/>
        <w:jc w:val="both"/>
        <w:rPr>
          <w:rFonts w:ascii="Arial" w:hAnsi="Arial" w:cs="Arial"/>
          <w:sz w:val="21"/>
          <w:szCs w:val="21"/>
        </w:rPr>
      </w:pPr>
      <w:r w:rsidRPr="00E04C9C">
        <w:rPr>
          <w:rFonts w:ascii="Arial" w:hAnsi="Arial" w:cs="Arial"/>
          <w:b/>
          <w:sz w:val="21"/>
          <w:szCs w:val="21"/>
        </w:rPr>
        <w:t>Character of Income:</w:t>
      </w:r>
      <w:r w:rsidRPr="00E04C9C">
        <w:rPr>
          <w:rFonts w:ascii="Arial" w:hAnsi="Arial" w:cs="Arial"/>
          <w:b/>
          <w:sz w:val="21"/>
          <w:szCs w:val="21"/>
        </w:rPr>
        <w:tab/>
      </w:r>
      <w:r w:rsidRPr="00E04C9C">
        <w:rPr>
          <w:rFonts w:ascii="Arial" w:hAnsi="Arial" w:cs="Arial"/>
          <w:sz w:val="21"/>
          <w:szCs w:val="21"/>
        </w:rPr>
        <w:t xml:space="preserve">It </w:t>
      </w:r>
      <w:r w:rsidR="0062337E" w:rsidRPr="00E04C9C">
        <w:rPr>
          <w:rFonts w:ascii="Arial" w:hAnsi="Arial" w:cs="Arial"/>
          <w:sz w:val="21"/>
          <w:szCs w:val="21"/>
        </w:rPr>
        <w:t xml:space="preserve">is </w:t>
      </w:r>
      <w:r w:rsidRPr="00E04C9C">
        <w:rPr>
          <w:rFonts w:ascii="Arial" w:hAnsi="Arial" w:cs="Arial"/>
          <w:sz w:val="21"/>
          <w:szCs w:val="21"/>
        </w:rPr>
        <w:t xml:space="preserve">noted that, </w:t>
      </w:r>
      <w:r w:rsidR="00DA3A81" w:rsidRPr="00E04C9C">
        <w:rPr>
          <w:rFonts w:ascii="Arial" w:hAnsi="Arial" w:cs="Arial"/>
          <w:sz w:val="21"/>
          <w:szCs w:val="21"/>
        </w:rPr>
        <w:t xml:space="preserve">for the purposes of </w:t>
      </w:r>
      <w:r w:rsidR="00F937E1" w:rsidRPr="00E04C9C">
        <w:rPr>
          <w:rFonts w:ascii="Arial" w:hAnsi="Arial" w:cs="Arial"/>
          <w:sz w:val="21"/>
          <w:szCs w:val="21"/>
        </w:rPr>
        <w:t xml:space="preserve">and in accordance with </w:t>
      </w:r>
      <w:r w:rsidRPr="00E04C9C">
        <w:rPr>
          <w:rFonts w:ascii="Arial" w:hAnsi="Arial" w:cs="Arial"/>
          <w:sz w:val="21"/>
          <w:szCs w:val="21"/>
        </w:rPr>
        <w:t xml:space="preserve">the Trust Deed, the company as </w:t>
      </w:r>
      <w:r w:rsidR="00533DD3" w:rsidRPr="00E04C9C">
        <w:rPr>
          <w:rFonts w:ascii="Arial" w:hAnsi="Arial" w:cs="Arial"/>
          <w:sz w:val="21"/>
          <w:szCs w:val="21"/>
        </w:rPr>
        <w:t>T</w:t>
      </w:r>
      <w:r w:rsidRPr="00E04C9C">
        <w:rPr>
          <w:rFonts w:ascii="Arial" w:hAnsi="Arial" w:cs="Arial"/>
          <w:sz w:val="21"/>
          <w:szCs w:val="21"/>
        </w:rPr>
        <w:t>rustee had kept appropriate records and accounts to be able to identify different classes and types of income and capital.</w:t>
      </w:r>
    </w:p>
    <w:p w14:paraId="2B26892D" w14:textId="2092DDFA" w:rsidR="00A93F61" w:rsidRPr="00E04C9C" w:rsidRDefault="00A93F61" w:rsidP="00936C51">
      <w:pPr>
        <w:tabs>
          <w:tab w:val="left" w:pos="-990"/>
          <w:tab w:val="left" w:pos="0"/>
        </w:tabs>
        <w:spacing w:after="120"/>
        <w:ind w:left="2835" w:hanging="2835"/>
        <w:jc w:val="both"/>
        <w:rPr>
          <w:rFonts w:ascii="Arial" w:hAnsi="Arial" w:cs="Arial"/>
          <w:sz w:val="21"/>
          <w:szCs w:val="21"/>
        </w:rPr>
      </w:pPr>
      <w:r w:rsidRPr="00E04C9C">
        <w:rPr>
          <w:rFonts w:ascii="Arial" w:hAnsi="Arial" w:cs="Arial"/>
          <w:b/>
          <w:sz w:val="21"/>
          <w:szCs w:val="21"/>
        </w:rPr>
        <w:t>Distribution of Income:</w:t>
      </w:r>
      <w:r w:rsidRPr="00E04C9C">
        <w:rPr>
          <w:rFonts w:ascii="Arial" w:hAnsi="Arial" w:cs="Arial"/>
          <w:b/>
          <w:sz w:val="21"/>
          <w:szCs w:val="21"/>
        </w:rPr>
        <w:tab/>
      </w:r>
      <w:r w:rsidR="005E15D1" w:rsidRPr="00E04C9C">
        <w:rPr>
          <w:rFonts w:ascii="Arial" w:hAnsi="Arial" w:cs="Arial"/>
          <w:b/>
          <w:sz w:val="21"/>
          <w:szCs w:val="21"/>
        </w:rPr>
        <w:t>RESOLVED THAT</w:t>
      </w:r>
      <w:r w:rsidR="0084643D" w:rsidRPr="00E04C9C">
        <w:rPr>
          <w:rFonts w:ascii="Arial" w:hAnsi="Arial" w:cs="Arial"/>
          <w:sz w:val="21"/>
          <w:szCs w:val="21"/>
        </w:rPr>
        <w:t xml:space="preserve">, in exercise of the power under </w:t>
      </w:r>
      <w:r w:rsidRPr="00E04C9C">
        <w:rPr>
          <w:rFonts w:ascii="Arial" w:hAnsi="Arial" w:cs="Arial"/>
          <w:sz w:val="21"/>
          <w:szCs w:val="21"/>
        </w:rPr>
        <w:t xml:space="preserve">the Trust Deed and </w:t>
      </w:r>
      <w:r w:rsidR="0084643D" w:rsidRPr="00E04C9C">
        <w:rPr>
          <w:rFonts w:ascii="Arial" w:hAnsi="Arial" w:cs="Arial"/>
          <w:sz w:val="21"/>
          <w:szCs w:val="21"/>
        </w:rPr>
        <w:t xml:space="preserve">every </w:t>
      </w:r>
      <w:r w:rsidRPr="00E04C9C">
        <w:rPr>
          <w:rFonts w:ascii="Arial" w:hAnsi="Arial" w:cs="Arial"/>
          <w:sz w:val="21"/>
          <w:szCs w:val="21"/>
        </w:rPr>
        <w:t xml:space="preserve">other power enabling </w:t>
      </w:r>
      <w:r w:rsidR="00B05A78" w:rsidRPr="00E04C9C">
        <w:rPr>
          <w:rFonts w:ascii="Arial" w:hAnsi="Arial" w:cs="Arial"/>
          <w:sz w:val="21"/>
          <w:szCs w:val="21"/>
        </w:rPr>
        <w:t>it</w:t>
      </w:r>
      <w:r w:rsidR="0084643D" w:rsidRPr="00E04C9C">
        <w:rPr>
          <w:rFonts w:ascii="Arial" w:hAnsi="Arial" w:cs="Arial"/>
          <w:sz w:val="21"/>
          <w:szCs w:val="21"/>
        </w:rPr>
        <w:t>, th</w:t>
      </w:r>
      <w:r w:rsidR="00DA3A81" w:rsidRPr="00E04C9C">
        <w:rPr>
          <w:rFonts w:ascii="Arial" w:hAnsi="Arial" w:cs="Arial"/>
          <w:sz w:val="21"/>
          <w:szCs w:val="21"/>
        </w:rPr>
        <w:t xml:space="preserve">e following classes or categories of income of the </w:t>
      </w:r>
      <w:r w:rsidR="009C03D7" w:rsidRPr="00E04C9C">
        <w:rPr>
          <w:rFonts w:ascii="Arial" w:hAnsi="Arial" w:cs="Arial"/>
          <w:sz w:val="21"/>
          <w:szCs w:val="21"/>
        </w:rPr>
        <w:t>T</w:t>
      </w:r>
      <w:r w:rsidR="00DA3A81" w:rsidRPr="00E04C9C">
        <w:rPr>
          <w:rFonts w:ascii="Arial" w:hAnsi="Arial" w:cs="Arial"/>
          <w:sz w:val="21"/>
          <w:szCs w:val="21"/>
        </w:rPr>
        <w:t xml:space="preserve">rust </w:t>
      </w:r>
      <w:r w:rsidR="001A6C2D" w:rsidRPr="00E04C9C">
        <w:rPr>
          <w:rFonts w:ascii="Arial" w:hAnsi="Arial" w:cs="Arial"/>
          <w:sz w:val="21"/>
          <w:szCs w:val="21"/>
        </w:rPr>
        <w:t xml:space="preserve">for the year ending 30 June </w:t>
      </w:r>
      <w:r w:rsidR="00D80574" w:rsidRPr="00E04C9C">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001A6C2D" w:rsidRPr="00E04C9C">
        <w:rPr>
          <w:rFonts w:ascii="Arial" w:hAnsi="Arial" w:cs="Arial"/>
          <w:sz w:val="21"/>
          <w:szCs w:val="21"/>
        </w:rPr>
        <w:t xml:space="preserve"> </w:t>
      </w:r>
      <w:r w:rsidR="00DA3A81" w:rsidRPr="00E04C9C">
        <w:rPr>
          <w:rFonts w:ascii="Arial" w:hAnsi="Arial" w:cs="Arial"/>
          <w:sz w:val="21"/>
          <w:szCs w:val="21"/>
        </w:rPr>
        <w:t xml:space="preserve">are </w:t>
      </w:r>
      <w:r w:rsidR="0093417F" w:rsidRPr="00E04C9C">
        <w:rPr>
          <w:rFonts w:ascii="Arial" w:hAnsi="Arial" w:cs="Arial"/>
          <w:sz w:val="21"/>
          <w:szCs w:val="21"/>
        </w:rPr>
        <w:t xml:space="preserve">hereby set </w:t>
      </w:r>
      <w:r w:rsidR="001A6C2D" w:rsidRPr="00E04C9C">
        <w:rPr>
          <w:rFonts w:ascii="Arial" w:hAnsi="Arial" w:cs="Arial"/>
          <w:sz w:val="21"/>
          <w:szCs w:val="21"/>
        </w:rPr>
        <w:t xml:space="preserve">aside </w:t>
      </w:r>
      <w:r w:rsidRPr="00E04C9C">
        <w:rPr>
          <w:rFonts w:ascii="Arial" w:hAnsi="Arial" w:cs="Arial"/>
          <w:sz w:val="21"/>
          <w:szCs w:val="21"/>
        </w:rPr>
        <w:t xml:space="preserve">for the benefit of the </w:t>
      </w:r>
      <w:r w:rsidR="00DA3A81" w:rsidRPr="00E04C9C">
        <w:rPr>
          <w:rFonts w:ascii="Arial" w:hAnsi="Arial" w:cs="Arial"/>
          <w:sz w:val="21"/>
          <w:szCs w:val="21"/>
        </w:rPr>
        <w:t xml:space="preserve">following </w:t>
      </w:r>
      <w:r w:rsidRPr="00E04C9C">
        <w:rPr>
          <w:rFonts w:ascii="Arial" w:hAnsi="Arial" w:cs="Arial"/>
          <w:sz w:val="21"/>
          <w:szCs w:val="21"/>
        </w:rPr>
        <w:t>beneficiaries</w:t>
      </w:r>
      <w:r w:rsidR="00DA3A81" w:rsidRPr="00E04C9C">
        <w:rPr>
          <w:rFonts w:ascii="Arial" w:hAnsi="Arial" w:cs="Arial"/>
          <w:sz w:val="21"/>
          <w:szCs w:val="21"/>
        </w:rPr>
        <w:t>,</w:t>
      </w:r>
      <w:r w:rsidRPr="00E04C9C">
        <w:rPr>
          <w:rFonts w:ascii="Arial" w:hAnsi="Arial" w:cs="Arial"/>
          <w:sz w:val="21"/>
          <w:szCs w:val="21"/>
        </w:rPr>
        <w:t xml:space="preserve"> and in </w:t>
      </w:r>
      <w:r w:rsidR="00DA3A81" w:rsidRPr="00E04C9C">
        <w:rPr>
          <w:rFonts w:ascii="Arial" w:hAnsi="Arial" w:cs="Arial"/>
          <w:sz w:val="21"/>
          <w:szCs w:val="21"/>
        </w:rPr>
        <w:t xml:space="preserve">the following </w:t>
      </w:r>
      <w:r w:rsidRPr="00E04C9C">
        <w:rPr>
          <w:rFonts w:ascii="Arial" w:hAnsi="Arial" w:cs="Arial"/>
          <w:sz w:val="21"/>
          <w:szCs w:val="21"/>
        </w:rPr>
        <w:t>amounts and/or proportions</w:t>
      </w:r>
      <w:r w:rsidR="00DA3A81" w:rsidRPr="00E04C9C">
        <w:rPr>
          <w:rFonts w:ascii="Arial" w:hAnsi="Arial" w:cs="Arial"/>
          <w:sz w:val="21"/>
          <w:szCs w:val="21"/>
        </w:rPr>
        <w:t xml:space="preserve">, as </w:t>
      </w:r>
      <w:r w:rsidRPr="00E04C9C">
        <w:rPr>
          <w:rFonts w:ascii="Arial" w:hAnsi="Arial" w:cs="Arial"/>
          <w:sz w:val="21"/>
          <w:szCs w:val="21"/>
        </w:rPr>
        <w:t>set out in the table below</w:t>
      </w:r>
      <w:r w:rsidR="00081626" w:rsidRPr="00E04C9C">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437"/>
      </w:tblGrid>
      <w:tr w:rsidR="00A93F61" w:rsidRPr="000D72D3" w14:paraId="019252B9" w14:textId="77777777" w:rsidTr="000D72D3">
        <w:trPr>
          <w:tblHeader/>
        </w:trPr>
        <w:tc>
          <w:tcPr>
            <w:tcW w:w="3085" w:type="dxa"/>
            <w:shd w:val="clear" w:color="auto" w:fill="auto"/>
          </w:tcPr>
          <w:p w14:paraId="00693E3F" w14:textId="575201A0" w:rsidR="00A93F61" w:rsidRPr="00AA11A7" w:rsidRDefault="00A93F61" w:rsidP="00936C51">
            <w:pPr>
              <w:spacing w:before="40" w:after="40"/>
              <w:ind w:left="720" w:hanging="720"/>
              <w:jc w:val="center"/>
              <w:rPr>
                <w:rFonts w:ascii="Arial" w:hAnsi="Arial" w:cs="Arial"/>
                <w:b/>
                <w:sz w:val="21"/>
                <w:szCs w:val="21"/>
              </w:rPr>
            </w:pPr>
            <w:r w:rsidRPr="00AA11A7">
              <w:rPr>
                <w:rFonts w:ascii="Arial" w:hAnsi="Arial" w:cs="Arial"/>
                <w:b/>
                <w:sz w:val="21"/>
                <w:szCs w:val="21"/>
              </w:rPr>
              <w:t>Income</w:t>
            </w:r>
          </w:p>
        </w:tc>
        <w:tc>
          <w:tcPr>
            <w:tcW w:w="5437" w:type="dxa"/>
            <w:shd w:val="clear" w:color="auto" w:fill="auto"/>
          </w:tcPr>
          <w:p w14:paraId="6085A185" w14:textId="77777777" w:rsidR="00A93F61" w:rsidRPr="00AA11A7" w:rsidRDefault="00A93F61" w:rsidP="00936C51">
            <w:pPr>
              <w:spacing w:before="40" w:after="40"/>
              <w:ind w:left="720" w:hanging="720"/>
              <w:jc w:val="center"/>
              <w:rPr>
                <w:rFonts w:ascii="Arial" w:hAnsi="Arial" w:cs="Arial"/>
                <w:b/>
                <w:sz w:val="21"/>
                <w:szCs w:val="21"/>
              </w:rPr>
            </w:pPr>
            <w:r w:rsidRPr="00AA11A7">
              <w:rPr>
                <w:rFonts w:ascii="Arial" w:hAnsi="Arial" w:cs="Arial"/>
                <w:b/>
                <w:sz w:val="21"/>
                <w:szCs w:val="21"/>
              </w:rPr>
              <w:t>Entitlement</w:t>
            </w:r>
          </w:p>
        </w:tc>
      </w:tr>
      <w:tr w:rsidR="00A93F61" w14:paraId="0DCC008F" w14:textId="77777777" w:rsidTr="000D72D3">
        <w:tc>
          <w:tcPr>
            <w:tcW w:w="3085" w:type="dxa"/>
            <w:shd w:val="clear" w:color="auto" w:fill="auto"/>
          </w:tcPr>
          <w:p w14:paraId="657C382E" w14:textId="77777777" w:rsidR="00A93F61" w:rsidRPr="00AA11A7" w:rsidRDefault="00936C51" w:rsidP="00936C51">
            <w:pPr>
              <w:spacing w:before="40" w:after="40"/>
              <w:rPr>
                <w:sz w:val="21"/>
                <w:szCs w:val="21"/>
              </w:rPr>
            </w:pPr>
            <w:r w:rsidRPr="00AA11A7">
              <w:rPr>
                <w:rFonts w:ascii="Arial" w:hAnsi="Arial" w:cs="Arial"/>
                <w:sz w:val="21"/>
                <w:szCs w:val="21"/>
              </w:rPr>
              <w:t xml:space="preserve">The total amount of </w:t>
            </w:r>
            <w:r w:rsidR="00081626" w:rsidRPr="00AA11A7">
              <w:rPr>
                <w:rFonts w:ascii="Arial" w:hAnsi="Arial" w:cs="Arial"/>
                <w:sz w:val="21"/>
                <w:szCs w:val="21"/>
              </w:rPr>
              <w:t>c</w:t>
            </w:r>
            <w:r w:rsidR="00A93F61" w:rsidRPr="00AA11A7">
              <w:rPr>
                <w:rFonts w:ascii="Arial" w:hAnsi="Arial" w:cs="Arial"/>
                <w:sz w:val="21"/>
                <w:szCs w:val="21"/>
              </w:rPr>
              <w:t>apital gain</w:t>
            </w:r>
            <w:r w:rsidRPr="00AA11A7">
              <w:rPr>
                <w:rFonts w:ascii="Arial" w:hAnsi="Arial" w:cs="Arial"/>
                <w:sz w:val="21"/>
                <w:szCs w:val="21"/>
              </w:rPr>
              <w:t>s</w:t>
            </w:r>
            <w:r w:rsidR="00081626" w:rsidRPr="00AA11A7">
              <w:rPr>
                <w:rFonts w:ascii="Arial" w:hAnsi="Arial" w:cs="Arial"/>
                <w:sz w:val="21"/>
                <w:szCs w:val="21"/>
              </w:rPr>
              <w:t xml:space="preserve"> remaining after the recoupment of any </w:t>
            </w:r>
            <w:r w:rsidR="00081626" w:rsidRPr="00AA11A7">
              <w:rPr>
                <w:rFonts w:ascii="Arial" w:hAnsi="Arial" w:cs="Arial"/>
                <w:sz w:val="21"/>
                <w:szCs w:val="21"/>
              </w:rPr>
              <w:lastRenderedPageBreak/>
              <w:t xml:space="preserve">unrecouped current-year or prior-year capital losses  </w:t>
            </w:r>
          </w:p>
        </w:tc>
        <w:tc>
          <w:tcPr>
            <w:tcW w:w="5437" w:type="dxa"/>
            <w:shd w:val="clear" w:color="auto" w:fill="auto"/>
          </w:tcPr>
          <w:p w14:paraId="698426A9" w14:textId="77777777" w:rsidR="00A93F61" w:rsidRPr="00AA11A7" w:rsidRDefault="00F9173B" w:rsidP="00936C51">
            <w:pPr>
              <w:spacing w:before="40" w:after="40"/>
              <w:rPr>
                <w:sz w:val="21"/>
                <w:szCs w:val="21"/>
              </w:rPr>
            </w:pPr>
            <w:r w:rsidRPr="00AA11A7">
              <w:rPr>
                <w:rFonts w:ascii="Arial" w:hAnsi="Arial" w:cs="Arial"/>
                <w:sz w:val="21"/>
                <w:szCs w:val="21"/>
              </w:rPr>
              <w:lastRenderedPageBreak/>
              <w:t xml:space="preserve">100% </w:t>
            </w:r>
            <w:r w:rsidR="00A93F61" w:rsidRPr="00AA11A7">
              <w:rPr>
                <w:rFonts w:ascii="Arial" w:hAnsi="Arial" w:cs="Arial"/>
                <w:sz w:val="21"/>
                <w:szCs w:val="21"/>
              </w:rPr>
              <w:t xml:space="preserve">to </w:t>
            </w:r>
            <w:r w:rsidR="004F2655">
              <w:rPr>
                <w:rFonts w:ascii="Arial" w:hAnsi="Arial" w:cs="Arial"/>
                <w:sz w:val="21"/>
                <w:szCs w:val="21"/>
              </w:rPr>
              <w:t>Diana</w:t>
            </w:r>
            <w:r w:rsidR="00A93F61" w:rsidRPr="00AA11A7">
              <w:rPr>
                <w:rFonts w:ascii="Arial" w:hAnsi="Arial" w:cs="Arial"/>
                <w:sz w:val="21"/>
                <w:szCs w:val="21"/>
              </w:rPr>
              <w:t xml:space="preserve"> </w:t>
            </w:r>
            <w:r w:rsidR="004F2655">
              <w:rPr>
                <w:rFonts w:ascii="Arial" w:hAnsi="Arial" w:cs="Arial"/>
                <w:sz w:val="21"/>
                <w:szCs w:val="21"/>
              </w:rPr>
              <w:t>Abacus</w:t>
            </w:r>
          </w:p>
        </w:tc>
      </w:tr>
      <w:tr w:rsidR="00A93F61" w14:paraId="281305F7" w14:textId="77777777" w:rsidTr="000D72D3">
        <w:tc>
          <w:tcPr>
            <w:tcW w:w="3085" w:type="dxa"/>
            <w:shd w:val="clear" w:color="auto" w:fill="auto"/>
          </w:tcPr>
          <w:p w14:paraId="663E1549" w14:textId="77777777" w:rsidR="00A93F61" w:rsidRPr="00AA11A7" w:rsidRDefault="00081626" w:rsidP="00936C51">
            <w:pPr>
              <w:spacing w:before="40" w:after="40"/>
              <w:rPr>
                <w:sz w:val="21"/>
                <w:szCs w:val="21"/>
              </w:rPr>
            </w:pPr>
            <w:r w:rsidRPr="00AA11A7">
              <w:rPr>
                <w:rFonts w:ascii="Arial" w:hAnsi="Arial" w:cs="Arial"/>
                <w:sz w:val="21"/>
                <w:szCs w:val="21"/>
              </w:rPr>
              <w:t xml:space="preserve">The </w:t>
            </w:r>
            <w:r w:rsidR="0005311D" w:rsidRPr="00AA11A7">
              <w:rPr>
                <w:rFonts w:ascii="Arial" w:hAnsi="Arial" w:cs="Arial"/>
                <w:sz w:val="21"/>
                <w:szCs w:val="21"/>
              </w:rPr>
              <w:t xml:space="preserve">total </w:t>
            </w:r>
            <w:r w:rsidRPr="00AA11A7">
              <w:rPr>
                <w:rFonts w:ascii="Arial" w:hAnsi="Arial" w:cs="Arial"/>
                <w:sz w:val="21"/>
                <w:szCs w:val="21"/>
              </w:rPr>
              <w:t xml:space="preserve">amount </w:t>
            </w:r>
            <w:r w:rsidR="001230E0" w:rsidRPr="00AA11A7">
              <w:rPr>
                <w:rFonts w:ascii="Arial" w:hAnsi="Arial" w:cs="Arial"/>
                <w:sz w:val="21"/>
                <w:szCs w:val="21"/>
              </w:rPr>
              <w:t xml:space="preserve">of </w:t>
            </w:r>
            <w:r w:rsidRPr="00AA11A7">
              <w:rPr>
                <w:rFonts w:ascii="Arial" w:hAnsi="Arial" w:cs="Arial"/>
                <w:sz w:val="21"/>
                <w:szCs w:val="21"/>
              </w:rPr>
              <w:t>f</w:t>
            </w:r>
            <w:r w:rsidR="00A93F61" w:rsidRPr="00AA11A7">
              <w:rPr>
                <w:rFonts w:ascii="Arial" w:hAnsi="Arial" w:cs="Arial"/>
                <w:sz w:val="21"/>
                <w:szCs w:val="21"/>
              </w:rPr>
              <w:t>ranked dividend</w:t>
            </w:r>
            <w:r w:rsidR="0005311D" w:rsidRPr="00AA11A7">
              <w:rPr>
                <w:rFonts w:ascii="Arial" w:hAnsi="Arial" w:cs="Arial"/>
                <w:sz w:val="21"/>
                <w:szCs w:val="21"/>
              </w:rPr>
              <w:t>s</w:t>
            </w:r>
            <w:r w:rsidRPr="00AA11A7">
              <w:rPr>
                <w:rFonts w:ascii="Arial" w:hAnsi="Arial" w:cs="Arial"/>
                <w:sz w:val="21"/>
                <w:szCs w:val="21"/>
              </w:rPr>
              <w:t xml:space="preserve"> remaining after subtracting any expenses directly relevant to th</w:t>
            </w:r>
            <w:r w:rsidR="0005311D" w:rsidRPr="00AA11A7">
              <w:rPr>
                <w:rFonts w:ascii="Arial" w:hAnsi="Arial" w:cs="Arial"/>
                <w:sz w:val="21"/>
                <w:szCs w:val="21"/>
              </w:rPr>
              <w:t xml:space="preserve">ose </w:t>
            </w:r>
            <w:r w:rsidRPr="00AA11A7">
              <w:rPr>
                <w:rFonts w:ascii="Arial" w:hAnsi="Arial" w:cs="Arial"/>
                <w:sz w:val="21"/>
                <w:szCs w:val="21"/>
              </w:rPr>
              <w:t>franked dividend</w:t>
            </w:r>
            <w:r w:rsidR="0005311D" w:rsidRPr="00AA11A7">
              <w:rPr>
                <w:rFonts w:ascii="Arial" w:hAnsi="Arial" w:cs="Arial"/>
                <w:sz w:val="21"/>
                <w:szCs w:val="21"/>
              </w:rPr>
              <w:t>s</w:t>
            </w:r>
          </w:p>
        </w:tc>
        <w:tc>
          <w:tcPr>
            <w:tcW w:w="5437" w:type="dxa"/>
            <w:shd w:val="clear" w:color="auto" w:fill="auto"/>
          </w:tcPr>
          <w:p w14:paraId="76C37938" w14:textId="77777777" w:rsidR="00081626" w:rsidRPr="00AA11A7" w:rsidRDefault="0005311D" w:rsidP="000D72D3">
            <w:pPr>
              <w:spacing w:before="60"/>
              <w:rPr>
                <w:rFonts w:ascii="Arial" w:hAnsi="Arial" w:cs="Arial"/>
                <w:sz w:val="21"/>
                <w:szCs w:val="21"/>
              </w:rPr>
            </w:pPr>
            <w:r w:rsidRPr="00AA11A7">
              <w:rPr>
                <w:rFonts w:ascii="Arial" w:hAnsi="Arial" w:cs="Arial"/>
                <w:sz w:val="21"/>
                <w:szCs w:val="21"/>
              </w:rPr>
              <w:t xml:space="preserve">The first $2,000 to </w:t>
            </w:r>
            <w:r w:rsidR="00DF14C3">
              <w:rPr>
                <w:rFonts w:ascii="Arial" w:hAnsi="Arial" w:cs="Arial"/>
                <w:sz w:val="21"/>
                <w:szCs w:val="21"/>
              </w:rPr>
              <w:t>Edmund Abacus</w:t>
            </w:r>
            <w:r w:rsidR="00A93F61" w:rsidRPr="00AA11A7">
              <w:rPr>
                <w:rFonts w:ascii="Arial" w:hAnsi="Arial" w:cs="Arial"/>
                <w:sz w:val="21"/>
                <w:szCs w:val="21"/>
              </w:rPr>
              <w:t xml:space="preserve">  </w:t>
            </w:r>
          </w:p>
          <w:p w14:paraId="440E422B" w14:textId="77777777" w:rsidR="00A93F61" w:rsidRPr="00AA11A7" w:rsidRDefault="0005311D" w:rsidP="0005311D">
            <w:pPr>
              <w:spacing w:before="60"/>
              <w:rPr>
                <w:rFonts w:ascii="Arial" w:hAnsi="Arial" w:cs="Arial"/>
                <w:sz w:val="21"/>
                <w:szCs w:val="21"/>
              </w:rPr>
            </w:pPr>
            <w:r w:rsidRPr="00AA11A7">
              <w:rPr>
                <w:rFonts w:ascii="Arial" w:hAnsi="Arial" w:cs="Arial"/>
                <w:sz w:val="21"/>
                <w:szCs w:val="21"/>
              </w:rPr>
              <w:t xml:space="preserve">The next $2,000 to </w:t>
            </w:r>
            <w:r w:rsidR="00DF14C3">
              <w:rPr>
                <w:rFonts w:ascii="Arial" w:hAnsi="Arial" w:cs="Arial"/>
                <w:sz w:val="21"/>
                <w:szCs w:val="21"/>
              </w:rPr>
              <w:t>Diana Abacus</w:t>
            </w:r>
          </w:p>
          <w:p w14:paraId="720D49F4" w14:textId="77777777" w:rsidR="0005311D" w:rsidRPr="00AA11A7" w:rsidRDefault="0005311D" w:rsidP="00936C51">
            <w:pPr>
              <w:spacing w:before="40" w:after="40"/>
              <w:rPr>
                <w:rFonts w:ascii="Arial" w:hAnsi="Arial" w:cs="Arial"/>
                <w:sz w:val="21"/>
                <w:szCs w:val="21"/>
              </w:rPr>
            </w:pPr>
            <w:r w:rsidRPr="00AA11A7">
              <w:rPr>
                <w:rFonts w:ascii="Arial" w:hAnsi="Arial" w:cs="Arial"/>
                <w:sz w:val="21"/>
                <w:szCs w:val="21"/>
              </w:rPr>
              <w:t xml:space="preserve">The balance to </w:t>
            </w:r>
            <w:r w:rsidR="00DF14C3">
              <w:rPr>
                <w:rFonts w:ascii="Arial" w:hAnsi="Arial" w:cs="Arial"/>
                <w:sz w:val="21"/>
                <w:szCs w:val="21"/>
              </w:rPr>
              <w:t>George Abacus</w:t>
            </w:r>
            <w:r w:rsidRPr="00AA11A7">
              <w:rPr>
                <w:rFonts w:ascii="Arial" w:hAnsi="Arial" w:cs="Arial"/>
                <w:sz w:val="21"/>
                <w:szCs w:val="21"/>
              </w:rPr>
              <w:t xml:space="preserve"> </w:t>
            </w:r>
          </w:p>
          <w:p w14:paraId="02DB09C9" w14:textId="77777777" w:rsidR="00A93F61" w:rsidRPr="00AA11A7" w:rsidRDefault="00A93F61" w:rsidP="00FD4976">
            <w:pPr>
              <w:rPr>
                <w:sz w:val="21"/>
                <w:szCs w:val="21"/>
              </w:rPr>
            </w:pPr>
          </w:p>
        </w:tc>
      </w:tr>
      <w:tr w:rsidR="00A93F61" w14:paraId="7AA6FFB8" w14:textId="77777777" w:rsidTr="000D72D3">
        <w:tc>
          <w:tcPr>
            <w:tcW w:w="3085" w:type="dxa"/>
            <w:shd w:val="clear" w:color="auto" w:fill="auto"/>
          </w:tcPr>
          <w:p w14:paraId="7CD89312" w14:textId="77777777" w:rsidR="00A93F61" w:rsidRPr="00AA11A7" w:rsidRDefault="00A93F61" w:rsidP="000D72D3">
            <w:pPr>
              <w:tabs>
                <w:tab w:val="left" w:pos="-990"/>
                <w:tab w:val="left" w:pos="0"/>
                <w:tab w:val="left" w:pos="2835"/>
              </w:tabs>
              <w:spacing w:before="60" w:after="60"/>
              <w:jc w:val="both"/>
              <w:rPr>
                <w:rFonts w:ascii="Arial" w:hAnsi="Arial" w:cs="Arial"/>
                <w:sz w:val="21"/>
                <w:szCs w:val="21"/>
              </w:rPr>
            </w:pPr>
            <w:r w:rsidRPr="00AA11A7">
              <w:rPr>
                <w:rFonts w:ascii="Arial" w:hAnsi="Arial" w:cs="Arial"/>
                <w:sz w:val="21"/>
                <w:szCs w:val="21"/>
              </w:rPr>
              <w:t xml:space="preserve">All other income not </w:t>
            </w:r>
            <w:r w:rsidR="00081626" w:rsidRPr="00AA11A7">
              <w:rPr>
                <w:rFonts w:ascii="Arial" w:hAnsi="Arial" w:cs="Arial"/>
                <w:sz w:val="21"/>
                <w:szCs w:val="21"/>
              </w:rPr>
              <w:t xml:space="preserve">described </w:t>
            </w:r>
            <w:r w:rsidRPr="00AA11A7">
              <w:rPr>
                <w:rFonts w:ascii="Arial" w:hAnsi="Arial" w:cs="Arial"/>
                <w:sz w:val="21"/>
                <w:szCs w:val="21"/>
              </w:rPr>
              <w:t>above</w:t>
            </w:r>
          </w:p>
        </w:tc>
        <w:tc>
          <w:tcPr>
            <w:tcW w:w="5437" w:type="dxa"/>
            <w:shd w:val="clear" w:color="auto" w:fill="auto"/>
          </w:tcPr>
          <w:p w14:paraId="1B8F0F2E" w14:textId="77777777" w:rsidR="005C6F41" w:rsidRPr="00AA11A7" w:rsidRDefault="00560EB3" w:rsidP="000D72D3">
            <w:pPr>
              <w:spacing w:before="60"/>
              <w:rPr>
                <w:rFonts w:ascii="Arial" w:hAnsi="Arial" w:cs="Arial"/>
                <w:sz w:val="21"/>
                <w:szCs w:val="21"/>
              </w:rPr>
            </w:pPr>
            <w:r w:rsidRPr="00AA11A7">
              <w:rPr>
                <w:rFonts w:ascii="Arial" w:hAnsi="Arial" w:cs="Arial"/>
                <w:sz w:val="21"/>
                <w:szCs w:val="21"/>
              </w:rPr>
              <w:t>T</w:t>
            </w:r>
            <w:r w:rsidR="005C6F41" w:rsidRPr="00AA11A7">
              <w:rPr>
                <w:rFonts w:ascii="Arial" w:hAnsi="Arial" w:cs="Arial"/>
                <w:sz w:val="21"/>
                <w:szCs w:val="21"/>
              </w:rPr>
              <w:t>he first $</w:t>
            </w:r>
            <w:r w:rsidR="00684040" w:rsidRPr="00AA11A7">
              <w:rPr>
                <w:rFonts w:ascii="Arial" w:hAnsi="Arial" w:cs="Arial"/>
                <w:sz w:val="21"/>
                <w:szCs w:val="21"/>
              </w:rPr>
              <w:t xml:space="preserve">400 </w:t>
            </w:r>
            <w:r w:rsidR="005C6F41" w:rsidRPr="00AA11A7">
              <w:rPr>
                <w:rFonts w:ascii="Arial" w:hAnsi="Arial" w:cs="Arial"/>
                <w:sz w:val="21"/>
                <w:szCs w:val="21"/>
              </w:rPr>
              <w:t xml:space="preserve">to </w:t>
            </w:r>
            <w:r w:rsidR="00DF14C3">
              <w:rPr>
                <w:rFonts w:ascii="Arial" w:hAnsi="Arial" w:cs="Arial"/>
                <w:sz w:val="21"/>
                <w:szCs w:val="21"/>
              </w:rPr>
              <w:t>Angela Abacus</w:t>
            </w:r>
          </w:p>
          <w:p w14:paraId="5A4611EE" w14:textId="77777777" w:rsidR="005C6F41" w:rsidRPr="00AA11A7" w:rsidRDefault="00560EB3" w:rsidP="000D72D3">
            <w:pPr>
              <w:spacing w:before="60"/>
              <w:rPr>
                <w:rFonts w:ascii="Arial" w:hAnsi="Arial" w:cs="Arial"/>
                <w:sz w:val="21"/>
                <w:szCs w:val="21"/>
              </w:rPr>
            </w:pPr>
            <w:r w:rsidRPr="00AA11A7">
              <w:rPr>
                <w:rFonts w:ascii="Arial" w:hAnsi="Arial" w:cs="Arial"/>
                <w:sz w:val="21"/>
                <w:szCs w:val="21"/>
              </w:rPr>
              <w:t>T</w:t>
            </w:r>
            <w:r w:rsidR="005C6F41" w:rsidRPr="00AA11A7">
              <w:rPr>
                <w:rFonts w:ascii="Arial" w:hAnsi="Arial" w:cs="Arial"/>
                <w:sz w:val="21"/>
                <w:szCs w:val="21"/>
              </w:rPr>
              <w:t>he next $</w:t>
            </w:r>
            <w:r w:rsidR="00684040" w:rsidRPr="00AA11A7">
              <w:rPr>
                <w:rFonts w:ascii="Arial" w:hAnsi="Arial" w:cs="Arial"/>
                <w:sz w:val="21"/>
                <w:szCs w:val="21"/>
              </w:rPr>
              <w:t>18</w:t>
            </w:r>
            <w:r w:rsidR="005C6F41" w:rsidRPr="00AA11A7">
              <w:rPr>
                <w:rFonts w:ascii="Arial" w:hAnsi="Arial" w:cs="Arial"/>
                <w:sz w:val="21"/>
                <w:szCs w:val="21"/>
              </w:rPr>
              <w:t xml:space="preserve">,000 to </w:t>
            </w:r>
            <w:r w:rsidR="00DF14C3">
              <w:rPr>
                <w:rFonts w:ascii="Arial" w:hAnsi="Arial" w:cs="Arial"/>
                <w:sz w:val="21"/>
                <w:szCs w:val="21"/>
              </w:rPr>
              <w:t>Diana Abacus</w:t>
            </w:r>
          </w:p>
          <w:p w14:paraId="4D2AB678" w14:textId="77777777" w:rsidR="00A93F61" w:rsidRPr="00AA11A7" w:rsidRDefault="00560EB3" w:rsidP="008A6178">
            <w:pPr>
              <w:spacing w:before="60" w:after="120"/>
              <w:rPr>
                <w:sz w:val="21"/>
                <w:szCs w:val="21"/>
              </w:rPr>
            </w:pPr>
            <w:r w:rsidRPr="00AA11A7">
              <w:rPr>
                <w:rFonts w:ascii="Arial" w:hAnsi="Arial" w:cs="Arial"/>
                <w:sz w:val="21"/>
                <w:szCs w:val="21"/>
              </w:rPr>
              <w:t>T</w:t>
            </w:r>
            <w:r w:rsidR="005C6F41" w:rsidRPr="00AA11A7">
              <w:rPr>
                <w:rFonts w:ascii="Arial" w:hAnsi="Arial" w:cs="Arial"/>
                <w:sz w:val="21"/>
                <w:szCs w:val="21"/>
              </w:rPr>
              <w:t>he balance</w:t>
            </w:r>
            <w:r w:rsidR="00F26E4E" w:rsidRPr="00AA11A7">
              <w:rPr>
                <w:rFonts w:ascii="Arial" w:hAnsi="Arial" w:cs="Arial"/>
                <w:sz w:val="21"/>
                <w:szCs w:val="21"/>
              </w:rPr>
              <w:t xml:space="preserve"> (if any) </w:t>
            </w:r>
            <w:r w:rsidR="005C6F41" w:rsidRPr="00AA11A7">
              <w:rPr>
                <w:rFonts w:ascii="Arial" w:hAnsi="Arial" w:cs="Arial"/>
                <w:sz w:val="21"/>
                <w:szCs w:val="21"/>
              </w:rPr>
              <w:t xml:space="preserve">to </w:t>
            </w:r>
            <w:r w:rsidR="00DF14C3">
              <w:rPr>
                <w:rFonts w:ascii="Arial" w:hAnsi="Arial" w:cs="Arial"/>
                <w:sz w:val="21"/>
                <w:szCs w:val="21"/>
              </w:rPr>
              <w:t>George Abacus</w:t>
            </w:r>
            <w:r w:rsidR="005C6F41" w:rsidRPr="00AA11A7">
              <w:rPr>
                <w:sz w:val="21"/>
                <w:szCs w:val="21"/>
              </w:rPr>
              <w:t xml:space="preserve"> </w:t>
            </w:r>
          </w:p>
        </w:tc>
      </w:tr>
    </w:tbl>
    <w:p w14:paraId="73AD25C9" w14:textId="77777777" w:rsidR="00A93F61" w:rsidRDefault="00A93F61" w:rsidP="00027A36">
      <w:pPr>
        <w:tabs>
          <w:tab w:val="left" w:pos="-990"/>
          <w:tab w:val="left" w:pos="0"/>
          <w:tab w:val="left" w:pos="2160"/>
        </w:tabs>
        <w:ind w:left="2880" w:hanging="2160"/>
        <w:jc w:val="both"/>
        <w:rPr>
          <w:rFonts w:ascii="Arial" w:hAnsi="Arial" w:cs="Arial"/>
          <w:sz w:val="21"/>
          <w:szCs w:val="21"/>
        </w:rPr>
      </w:pPr>
      <w:r>
        <w:rPr>
          <w:rFonts w:ascii="Arial" w:hAnsi="Arial" w:cs="Arial"/>
          <w:b/>
          <w:szCs w:val="21"/>
        </w:rPr>
        <w:tab/>
      </w:r>
      <w:r w:rsidRPr="00875BA3">
        <w:rPr>
          <w:rFonts w:ascii="Arial" w:hAnsi="Arial" w:cs="Arial"/>
          <w:b/>
          <w:sz w:val="21"/>
          <w:szCs w:val="21"/>
        </w:rPr>
        <w:tab/>
      </w:r>
      <w:r w:rsidRPr="00875BA3">
        <w:rPr>
          <w:rFonts w:ascii="Arial" w:hAnsi="Arial" w:cs="Arial"/>
          <w:sz w:val="21"/>
          <w:szCs w:val="21"/>
        </w:rPr>
        <w:t xml:space="preserve">Also </w:t>
      </w:r>
      <w:r w:rsidRPr="00875BA3">
        <w:rPr>
          <w:rFonts w:ascii="Arial" w:hAnsi="Arial" w:cs="Arial"/>
          <w:b/>
          <w:sz w:val="21"/>
          <w:szCs w:val="21"/>
        </w:rPr>
        <w:t>RESOLVED THAT</w:t>
      </w:r>
      <w:r w:rsidRPr="00875BA3">
        <w:rPr>
          <w:rFonts w:ascii="Arial" w:hAnsi="Arial" w:cs="Arial"/>
          <w:sz w:val="21"/>
          <w:szCs w:val="21"/>
        </w:rPr>
        <w:t>, for the avoidance of doubt, regardless of any a</w:t>
      </w:r>
      <w:r w:rsidR="009C03D7" w:rsidRPr="00875BA3">
        <w:rPr>
          <w:rFonts w:ascii="Arial" w:hAnsi="Arial" w:cs="Arial"/>
          <w:sz w:val="21"/>
          <w:szCs w:val="21"/>
        </w:rPr>
        <w:t>djustment to the income of the T</w:t>
      </w:r>
      <w:r w:rsidRPr="00875BA3">
        <w:rPr>
          <w:rFonts w:ascii="Arial" w:hAnsi="Arial" w:cs="Arial"/>
          <w:sz w:val="21"/>
          <w:szCs w:val="21"/>
        </w:rPr>
        <w:t xml:space="preserve">rust, the income of the </w:t>
      </w:r>
      <w:r w:rsidR="009C03D7" w:rsidRPr="00875BA3">
        <w:rPr>
          <w:rFonts w:ascii="Arial" w:hAnsi="Arial" w:cs="Arial"/>
          <w:sz w:val="21"/>
          <w:szCs w:val="21"/>
        </w:rPr>
        <w:t>T</w:t>
      </w:r>
      <w:r w:rsidRPr="00875BA3">
        <w:rPr>
          <w:rFonts w:ascii="Arial" w:hAnsi="Arial" w:cs="Arial"/>
          <w:sz w:val="21"/>
          <w:szCs w:val="21"/>
        </w:rPr>
        <w:t xml:space="preserve">rust shall be distributed as specified above. </w:t>
      </w:r>
    </w:p>
    <w:p w14:paraId="548F7818" w14:textId="77777777" w:rsidR="00027A36" w:rsidRPr="00875BA3" w:rsidRDefault="00027A36" w:rsidP="00027A36">
      <w:pPr>
        <w:tabs>
          <w:tab w:val="left" w:pos="-990"/>
          <w:tab w:val="left" w:pos="0"/>
          <w:tab w:val="left" w:pos="2160"/>
        </w:tabs>
        <w:ind w:left="2880" w:hanging="2160"/>
        <w:jc w:val="both"/>
        <w:rPr>
          <w:rFonts w:ascii="Arial" w:hAnsi="Arial" w:cs="Arial"/>
          <w:sz w:val="21"/>
          <w:szCs w:val="21"/>
        </w:rPr>
      </w:pPr>
    </w:p>
    <w:p w14:paraId="1EFF1619" w14:textId="77777777" w:rsidR="00C264AE" w:rsidRDefault="00C264AE" w:rsidP="00C264AE">
      <w:pPr>
        <w:pStyle w:val="ExampleHeading"/>
      </w:pPr>
      <w:r>
        <w:t xml:space="preserve">TAX WARNING – Proportionate approach </w:t>
      </w:r>
    </w:p>
    <w:p w14:paraId="3AFF8DB5" w14:textId="05C261BB" w:rsidR="009C03D7" w:rsidRDefault="005C6F41" w:rsidP="00F74373">
      <w:pPr>
        <w:pStyle w:val="ExampleText"/>
      </w:pPr>
      <w:r>
        <w:t xml:space="preserve">Beneficiaries that are made specifically entitled to capital gains </w:t>
      </w:r>
      <w:r w:rsidR="00F9173B">
        <w:t>and/</w:t>
      </w:r>
      <w:r>
        <w:t xml:space="preserve">or </w:t>
      </w:r>
      <w:r w:rsidR="00F9173B">
        <w:t xml:space="preserve">net </w:t>
      </w:r>
      <w:r>
        <w:t xml:space="preserve">franked dividends can be taxed on those amounts.  The remainder of the trust’s </w:t>
      </w:r>
      <w:r w:rsidR="008D49A5">
        <w:t>net (</w:t>
      </w:r>
      <w:r>
        <w:t>taxable</w:t>
      </w:r>
      <w:r w:rsidR="008D49A5">
        <w:t>)</w:t>
      </w:r>
      <w:r>
        <w:t xml:space="preserve"> income, including any capital gains and/or </w:t>
      </w:r>
      <w:r w:rsidR="00F9173B">
        <w:t xml:space="preserve">net </w:t>
      </w:r>
      <w:r>
        <w:t>franked dividends to which no beneficiary is specifically entitled</w:t>
      </w:r>
      <w:r w:rsidR="000610F8">
        <w:t>,</w:t>
      </w:r>
      <w:r>
        <w:t xml:space="preserve"> will </w:t>
      </w:r>
      <w:r w:rsidR="005E15D1">
        <w:t xml:space="preserve">generally </w:t>
      </w:r>
      <w:r>
        <w:t xml:space="preserve">need to be included in the taxable income of the other beneficiaries, proportionate </w:t>
      </w:r>
      <w:r w:rsidR="00676D23">
        <w:t xml:space="preserve">to </w:t>
      </w:r>
      <w:r>
        <w:t>their entitlements to the income of the trust</w:t>
      </w:r>
      <w:r w:rsidR="00F9173B">
        <w:t xml:space="preserve"> (note that, if a beneficiary is made entitled to anything less than </w:t>
      </w:r>
      <w:r w:rsidR="0005311D">
        <w:t xml:space="preserve">the </w:t>
      </w:r>
      <w:r w:rsidR="008A37BA">
        <w:t xml:space="preserve">full </w:t>
      </w:r>
      <w:r w:rsidR="00936C51">
        <w:t xml:space="preserve">net </w:t>
      </w:r>
      <w:r w:rsidR="00F9173B">
        <w:t xml:space="preserve">financial benefit </w:t>
      </w:r>
      <w:r w:rsidR="00936C51">
        <w:t xml:space="preserve">attributable to </w:t>
      </w:r>
      <w:r w:rsidR="00F9173B">
        <w:t xml:space="preserve">a capital gain, they will only be assessed on a proportionate amount of that </w:t>
      </w:r>
      <w:r w:rsidR="00936C51">
        <w:t xml:space="preserve">capital </w:t>
      </w:r>
      <w:r w:rsidR="00F9173B">
        <w:t>gain)</w:t>
      </w:r>
      <w:r>
        <w:t xml:space="preserve">.  </w:t>
      </w:r>
    </w:p>
    <w:p w14:paraId="78EC1D4F" w14:textId="77777777" w:rsidR="00C264AE" w:rsidRDefault="005C6F41" w:rsidP="00936C51">
      <w:pPr>
        <w:pStyle w:val="ExampleText"/>
        <w:spacing w:after="120"/>
      </w:pPr>
      <w:r>
        <w:t>Th</w:t>
      </w:r>
      <w:r w:rsidR="009C03D7">
        <w:t xml:space="preserve">e application of </w:t>
      </w:r>
      <w:r w:rsidR="00684040">
        <w:t>this ‘</w:t>
      </w:r>
      <w:r w:rsidR="009C03D7">
        <w:t>proportionate approach</w:t>
      </w:r>
      <w:r w:rsidR="00684040">
        <w:t>’</w:t>
      </w:r>
      <w:r w:rsidR="009C03D7">
        <w:t xml:space="preserve"> </w:t>
      </w:r>
      <w:r w:rsidR="00F9173B">
        <w:t xml:space="preserve">also </w:t>
      </w:r>
      <w:r>
        <w:t>means that t</w:t>
      </w:r>
      <w:r w:rsidRPr="007833C6">
        <w:t>he distribution</w:t>
      </w:r>
      <w:r>
        <w:t xml:space="preserve">s </w:t>
      </w:r>
      <w:r w:rsidR="001230E0">
        <w:t xml:space="preserve">of other income </w:t>
      </w:r>
      <w:r>
        <w:t>will not always result in</w:t>
      </w:r>
      <w:r w:rsidR="00C264AE">
        <w:t xml:space="preserve">: </w:t>
      </w:r>
    </w:p>
    <w:p w14:paraId="152D679F" w14:textId="77777777" w:rsidR="00C264AE" w:rsidRDefault="00C264AE" w:rsidP="00F74373">
      <w:pPr>
        <w:pStyle w:val="ExampleText"/>
        <w:spacing w:after="120"/>
        <w:ind w:left="425" w:hanging="425"/>
      </w:pPr>
      <w:r>
        <w:t>-</w:t>
      </w:r>
      <w:r>
        <w:tab/>
        <w:t>the beneficiaries includ</w:t>
      </w:r>
      <w:r w:rsidR="005E15D1">
        <w:t xml:space="preserve">ing </w:t>
      </w:r>
      <w:r>
        <w:t xml:space="preserve">the same dollar amount of net </w:t>
      </w:r>
      <w:r w:rsidR="006124F8">
        <w:t xml:space="preserve">(taxable) </w:t>
      </w:r>
      <w:r>
        <w:t xml:space="preserve">income in their assessable income; and/or </w:t>
      </w:r>
    </w:p>
    <w:p w14:paraId="09ED0546" w14:textId="77777777" w:rsidR="00C264AE" w:rsidRDefault="00C264AE" w:rsidP="008A6178">
      <w:pPr>
        <w:pStyle w:val="ExampleText"/>
        <w:ind w:left="425" w:hanging="425"/>
      </w:pPr>
      <w:r>
        <w:t>-</w:t>
      </w:r>
      <w:r>
        <w:tab/>
        <w:t>the trustee be</w:t>
      </w:r>
      <w:r w:rsidR="005E15D1">
        <w:t>ing</w:t>
      </w:r>
      <w:r>
        <w:t xml:space="preserve"> assessed on behalf of a </w:t>
      </w:r>
      <w:r w:rsidRPr="007833C6">
        <w:t xml:space="preserve">beneficiary </w:t>
      </w:r>
      <w:r w:rsidR="00684040">
        <w:t xml:space="preserve">(e.g., a minor) </w:t>
      </w:r>
      <w:r>
        <w:t xml:space="preserve">on the same dollar amount of net </w:t>
      </w:r>
      <w:r w:rsidR="006124F8">
        <w:t xml:space="preserve">(taxable) </w:t>
      </w:r>
      <w:r>
        <w:t xml:space="preserve">income. </w:t>
      </w:r>
    </w:p>
    <w:p w14:paraId="64EFFEFB" w14:textId="77777777" w:rsidR="00C264AE" w:rsidRPr="00642341" w:rsidRDefault="00C264AE" w:rsidP="00A93F61">
      <w:pPr>
        <w:tabs>
          <w:tab w:val="left" w:pos="-990"/>
          <w:tab w:val="left" w:pos="0"/>
          <w:tab w:val="left" w:pos="2160"/>
        </w:tabs>
        <w:ind w:left="2880" w:hanging="2880"/>
        <w:jc w:val="both"/>
        <w:rPr>
          <w:rFonts w:ascii="Arial" w:hAnsi="Arial" w:cs="Arial"/>
          <w:b/>
          <w:sz w:val="21"/>
          <w:szCs w:val="21"/>
        </w:rPr>
      </w:pPr>
    </w:p>
    <w:p w14:paraId="6615D7FF" w14:textId="63E1384B" w:rsidR="005D26A3" w:rsidRPr="00642341" w:rsidRDefault="00A93F61" w:rsidP="005D26A3">
      <w:pPr>
        <w:tabs>
          <w:tab w:val="left" w:pos="-990"/>
          <w:tab w:val="left" w:pos="0"/>
          <w:tab w:val="left" w:pos="2160"/>
        </w:tabs>
        <w:spacing w:before="160"/>
        <w:ind w:left="2880" w:hanging="2880"/>
        <w:jc w:val="both"/>
        <w:rPr>
          <w:rFonts w:ascii="Arial" w:hAnsi="Arial" w:cs="Arial"/>
          <w:sz w:val="21"/>
          <w:szCs w:val="21"/>
        </w:rPr>
      </w:pPr>
      <w:r w:rsidRPr="00642341">
        <w:rPr>
          <w:rFonts w:ascii="Arial" w:hAnsi="Arial" w:cs="Arial"/>
          <w:b/>
          <w:sz w:val="21"/>
          <w:szCs w:val="21"/>
        </w:rPr>
        <w:t>Prior payments:</w:t>
      </w:r>
      <w:r w:rsidRPr="00642341">
        <w:rPr>
          <w:rFonts w:ascii="Arial" w:hAnsi="Arial" w:cs="Arial"/>
          <w:b/>
          <w:sz w:val="21"/>
          <w:szCs w:val="21"/>
        </w:rPr>
        <w:tab/>
      </w:r>
      <w:r w:rsidRPr="00642341">
        <w:rPr>
          <w:rFonts w:ascii="Arial" w:hAnsi="Arial" w:cs="Arial"/>
          <w:b/>
          <w:sz w:val="21"/>
          <w:szCs w:val="21"/>
        </w:rPr>
        <w:tab/>
      </w:r>
      <w:r w:rsidR="005D26A3" w:rsidRPr="00642341">
        <w:rPr>
          <w:rFonts w:ascii="Arial" w:hAnsi="Arial" w:cs="Arial"/>
          <w:b/>
          <w:sz w:val="21"/>
          <w:szCs w:val="21"/>
        </w:rPr>
        <w:t>RESOLVED THAT</w:t>
      </w:r>
      <w:r w:rsidR="005D26A3" w:rsidRPr="00642341">
        <w:rPr>
          <w:rFonts w:ascii="Arial" w:hAnsi="Arial" w:cs="Arial"/>
          <w:sz w:val="21"/>
          <w:szCs w:val="21"/>
        </w:rPr>
        <w:t>,</w:t>
      </w:r>
      <w:r w:rsidR="005D26A3" w:rsidRPr="00642341">
        <w:rPr>
          <w:rFonts w:ascii="Arial" w:hAnsi="Arial" w:cs="Arial"/>
          <w:b/>
          <w:sz w:val="21"/>
          <w:szCs w:val="21"/>
        </w:rPr>
        <w:t xml:space="preserve"> </w:t>
      </w:r>
      <w:r w:rsidR="005D26A3" w:rsidRPr="00642341">
        <w:rPr>
          <w:rFonts w:ascii="Arial" w:hAnsi="Arial" w:cs="Arial"/>
          <w:sz w:val="21"/>
          <w:szCs w:val="21"/>
        </w:rPr>
        <w:t xml:space="preserve">for the avoidance of doubt, in respect of any amounts of income that have actually been paid by the </w:t>
      </w:r>
      <w:r w:rsidR="00533DD3" w:rsidRPr="00642341">
        <w:rPr>
          <w:rFonts w:ascii="Arial" w:hAnsi="Arial" w:cs="Arial"/>
          <w:sz w:val="21"/>
          <w:szCs w:val="21"/>
        </w:rPr>
        <w:t>T</w:t>
      </w:r>
      <w:r w:rsidR="005D26A3" w:rsidRPr="00642341">
        <w:rPr>
          <w:rFonts w:ascii="Arial" w:hAnsi="Arial" w:cs="Arial"/>
          <w:sz w:val="21"/>
          <w:szCs w:val="21"/>
        </w:rPr>
        <w:t>rustee to o</w:t>
      </w:r>
      <w:r w:rsidR="00BC1580" w:rsidRPr="00642341">
        <w:rPr>
          <w:rFonts w:ascii="Arial" w:hAnsi="Arial" w:cs="Arial"/>
          <w:sz w:val="21"/>
          <w:szCs w:val="21"/>
        </w:rPr>
        <w:t>r</w:t>
      </w:r>
      <w:r w:rsidR="005D26A3" w:rsidRPr="00642341">
        <w:rPr>
          <w:rFonts w:ascii="Arial" w:hAnsi="Arial" w:cs="Arial"/>
          <w:sz w:val="21"/>
          <w:szCs w:val="21"/>
        </w:rPr>
        <w:t xml:space="preserve"> for the benefit of any </w:t>
      </w:r>
      <w:r w:rsidR="00687646" w:rsidRPr="00642341">
        <w:rPr>
          <w:rFonts w:ascii="Arial" w:hAnsi="Arial" w:cs="Arial"/>
          <w:sz w:val="21"/>
          <w:szCs w:val="21"/>
        </w:rPr>
        <w:t>b</w:t>
      </w:r>
      <w:r w:rsidR="005D26A3" w:rsidRPr="00642341">
        <w:rPr>
          <w:rFonts w:ascii="Arial" w:hAnsi="Arial" w:cs="Arial"/>
          <w:sz w:val="21"/>
          <w:szCs w:val="21"/>
        </w:rPr>
        <w:t xml:space="preserve">eneficiaries specified above </w:t>
      </w:r>
      <w:r w:rsidR="00C04F87" w:rsidRPr="00642341">
        <w:rPr>
          <w:rFonts w:ascii="Arial" w:hAnsi="Arial" w:cs="Arial"/>
          <w:sz w:val="21"/>
          <w:szCs w:val="21"/>
        </w:rPr>
        <w:t xml:space="preserve">or any other </w:t>
      </w:r>
      <w:r w:rsidR="00687646" w:rsidRPr="00642341">
        <w:rPr>
          <w:rFonts w:ascii="Arial" w:hAnsi="Arial" w:cs="Arial"/>
          <w:sz w:val="21"/>
          <w:szCs w:val="21"/>
        </w:rPr>
        <w:t>b</w:t>
      </w:r>
      <w:r w:rsidR="00C04F87" w:rsidRPr="00642341">
        <w:rPr>
          <w:rFonts w:ascii="Arial" w:hAnsi="Arial" w:cs="Arial"/>
          <w:sz w:val="21"/>
          <w:szCs w:val="21"/>
        </w:rPr>
        <w:t xml:space="preserve">eneficiary of the Trust </w:t>
      </w:r>
      <w:r w:rsidR="005D26A3" w:rsidRPr="00642341">
        <w:rPr>
          <w:rFonts w:ascii="Arial" w:hAnsi="Arial" w:cs="Arial"/>
          <w:sz w:val="21"/>
          <w:szCs w:val="21"/>
        </w:rPr>
        <w:t>during the year ending 30 Ju</w:t>
      </w:r>
      <w:r w:rsidR="00303E38" w:rsidRPr="00642341">
        <w:rPr>
          <w:rFonts w:ascii="Arial" w:hAnsi="Arial" w:cs="Arial"/>
          <w:sz w:val="21"/>
          <w:szCs w:val="21"/>
        </w:rPr>
        <w:t xml:space="preserve">ne </w:t>
      </w:r>
      <w:r w:rsidR="00D80574" w:rsidRPr="00642341">
        <w:rPr>
          <w:rFonts w:ascii="Arial" w:hAnsi="Arial" w:cs="Arial"/>
          <w:sz w:val="21"/>
          <w:szCs w:val="21"/>
        </w:rPr>
        <w:t>20</w:t>
      </w:r>
      <w:r w:rsidR="00827C79">
        <w:rPr>
          <w:rFonts w:ascii="Arial" w:hAnsi="Arial" w:cs="Arial"/>
          <w:sz w:val="21"/>
          <w:szCs w:val="21"/>
        </w:rPr>
        <w:t>2</w:t>
      </w:r>
      <w:r w:rsidR="00B305C4">
        <w:rPr>
          <w:rFonts w:ascii="Arial" w:hAnsi="Arial" w:cs="Arial"/>
          <w:sz w:val="21"/>
          <w:szCs w:val="21"/>
        </w:rPr>
        <w:t>5</w:t>
      </w:r>
      <w:r w:rsidR="005D26A3" w:rsidRPr="00642341">
        <w:rPr>
          <w:rFonts w:ascii="Arial" w:hAnsi="Arial" w:cs="Arial"/>
          <w:sz w:val="21"/>
          <w:szCs w:val="21"/>
        </w:rPr>
        <w:t>, the making of the payment did</w:t>
      </w:r>
      <w:r w:rsidR="00BC1580" w:rsidRPr="00642341">
        <w:rPr>
          <w:rFonts w:ascii="Arial" w:hAnsi="Arial" w:cs="Arial"/>
          <w:sz w:val="21"/>
          <w:szCs w:val="21"/>
        </w:rPr>
        <w:t xml:space="preserve"> not </w:t>
      </w:r>
      <w:r w:rsidR="005D26A3" w:rsidRPr="00642341">
        <w:rPr>
          <w:rFonts w:ascii="Arial" w:hAnsi="Arial" w:cs="Arial"/>
          <w:sz w:val="21"/>
          <w:szCs w:val="21"/>
        </w:rPr>
        <w:t>constitute the m</w:t>
      </w:r>
      <w:r w:rsidR="00533DD3" w:rsidRPr="00642341">
        <w:rPr>
          <w:rFonts w:ascii="Arial" w:hAnsi="Arial" w:cs="Arial"/>
          <w:sz w:val="21"/>
          <w:szCs w:val="21"/>
        </w:rPr>
        <w:t>aking of a Distribution by the T</w:t>
      </w:r>
      <w:r w:rsidR="005D26A3" w:rsidRPr="00642341">
        <w:rPr>
          <w:rFonts w:ascii="Arial" w:hAnsi="Arial" w:cs="Arial"/>
          <w:sz w:val="21"/>
          <w:szCs w:val="21"/>
        </w:rPr>
        <w:t xml:space="preserve">rustee unless the payment was expressly recorded by a resolution of the </w:t>
      </w:r>
      <w:r w:rsidR="00533DD3" w:rsidRPr="00642341">
        <w:rPr>
          <w:rFonts w:ascii="Arial" w:hAnsi="Arial" w:cs="Arial"/>
          <w:sz w:val="21"/>
          <w:szCs w:val="21"/>
        </w:rPr>
        <w:t>T</w:t>
      </w:r>
      <w:r w:rsidR="005D26A3" w:rsidRPr="00642341">
        <w:rPr>
          <w:rFonts w:ascii="Arial" w:hAnsi="Arial" w:cs="Arial"/>
          <w:sz w:val="21"/>
          <w:szCs w:val="21"/>
        </w:rPr>
        <w:t>rustee as constituting a Distribution, and does not vary the terms of any Distributions made under these resolutions.</w:t>
      </w:r>
    </w:p>
    <w:p w14:paraId="6F0C324B" w14:textId="0F0D71FA" w:rsidR="00A93F61" w:rsidRPr="00642341" w:rsidRDefault="004E4534" w:rsidP="00154923">
      <w:pPr>
        <w:tabs>
          <w:tab w:val="left" w:pos="-990"/>
          <w:tab w:val="left" w:pos="0"/>
          <w:tab w:val="left" w:pos="2160"/>
          <w:tab w:val="left" w:pos="6140"/>
          <w:tab w:val="left" w:pos="7540"/>
        </w:tabs>
        <w:ind w:left="2880" w:hanging="2880"/>
        <w:rPr>
          <w:rFonts w:ascii="Arial" w:hAnsi="Arial" w:cs="Arial"/>
          <w:sz w:val="21"/>
          <w:szCs w:val="21"/>
        </w:rPr>
      </w:pPr>
      <w:r>
        <w:rPr>
          <w:rFonts w:ascii="Arial" w:hAnsi="Arial" w:cs="Arial"/>
          <w:sz w:val="21"/>
          <w:szCs w:val="21"/>
        </w:rPr>
        <w:lastRenderedPageBreak/>
        <w:tab/>
      </w:r>
      <w:r>
        <w:rPr>
          <w:rFonts w:ascii="Arial" w:hAnsi="Arial" w:cs="Arial"/>
          <w:sz w:val="21"/>
          <w:szCs w:val="21"/>
        </w:rPr>
        <w:tab/>
      </w:r>
      <w:r>
        <w:rPr>
          <w:rFonts w:ascii="Arial" w:hAnsi="Arial" w:cs="Arial"/>
          <w:sz w:val="21"/>
          <w:szCs w:val="21"/>
        </w:rPr>
        <w:tab/>
      </w:r>
      <w:r w:rsidR="00732EA1">
        <w:rPr>
          <w:rFonts w:ascii="Arial" w:hAnsi="Arial" w:cs="Arial"/>
          <w:sz w:val="21"/>
          <w:szCs w:val="21"/>
        </w:rPr>
        <w:tab/>
      </w:r>
    </w:p>
    <w:p w14:paraId="41F24D39" w14:textId="77777777" w:rsidR="00A93F61" w:rsidRPr="00642341" w:rsidRDefault="00A93F61" w:rsidP="00A93F61">
      <w:pPr>
        <w:tabs>
          <w:tab w:val="left" w:pos="-990"/>
          <w:tab w:val="left" w:pos="0"/>
        </w:tabs>
        <w:ind w:left="2835" w:hanging="2835"/>
        <w:jc w:val="both"/>
        <w:rPr>
          <w:rFonts w:ascii="Arial" w:hAnsi="Arial" w:cs="Arial"/>
          <w:sz w:val="21"/>
          <w:szCs w:val="21"/>
        </w:rPr>
      </w:pPr>
    </w:p>
    <w:p w14:paraId="078965CB" w14:textId="77777777" w:rsidR="00A93F61" w:rsidRPr="00642341" w:rsidRDefault="00A93F61" w:rsidP="00A93F61">
      <w:pPr>
        <w:tabs>
          <w:tab w:val="left" w:pos="-990"/>
          <w:tab w:val="left" w:pos="0"/>
        </w:tabs>
        <w:ind w:left="2835" w:hanging="2835"/>
        <w:jc w:val="both"/>
        <w:rPr>
          <w:rFonts w:ascii="Arial" w:hAnsi="Arial" w:cs="Arial"/>
          <w:sz w:val="21"/>
          <w:szCs w:val="21"/>
        </w:rPr>
      </w:pPr>
    </w:p>
    <w:p w14:paraId="3D12C74E" w14:textId="77777777" w:rsidR="006F6476" w:rsidRPr="00642341" w:rsidRDefault="00F8693A" w:rsidP="006F6476">
      <w:pPr>
        <w:tabs>
          <w:tab w:val="left" w:pos="-990"/>
          <w:tab w:val="left" w:pos="0"/>
        </w:tabs>
        <w:ind w:left="2835" w:hanging="2835"/>
        <w:jc w:val="both"/>
        <w:rPr>
          <w:rFonts w:ascii="Arial" w:hAnsi="Arial" w:cs="Arial"/>
          <w:sz w:val="21"/>
          <w:szCs w:val="21"/>
        </w:rPr>
      </w:pPr>
      <w:r w:rsidRPr="00642341">
        <w:rPr>
          <w:rFonts w:ascii="Arial" w:hAnsi="Arial" w:cs="Arial"/>
          <w:b/>
          <w:sz w:val="21"/>
          <w:szCs w:val="21"/>
        </w:rPr>
        <w:t>Declaration</w:t>
      </w:r>
      <w:r w:rsidR="00A93F61" w:rsidRPr="00642341">
        <w:rPr>
          <w:rFonts w:ascii="Arial" w:hAnsi="Arial" w:cs="Arial"/>
          <w:b/>
          <w:sz w:val="21"/>
          <w:szCs w:val="21"/>
        </w:rPr>
        <w:t>:</w:t>
      </w:r>
      <w:r w:rsidR="00A93F61" w:rsidRPr="00642341">
        <w:rPr>
          <w:rFonts w:ascii="Arial" w:hAnsi="Arial" w:cs="Arial"/>
          <w:b/>
          <w:sz w:val="21"/>
          <w:szCs w:val="21"/>
        </w:rPr>
        <w:tab/>
      </w:r>
      <w:r w:rsidR="00B65D14" w:rsidRPr="00642341">
        <w:rPr>
          <w:rFonts w:ascii="Arial" w:hAnsi="Arial" w:cs="Arial"/>
          <w:sz w:val="21"/>
          <w:szCs w:val="21"/>
        </w:rPr>
        <w:t>I</w:t>
      </w:r>
      <w:r w:rsidR="006F6476" w:rsidRPr="00642341">
        <w:rPr>
          <w:rFonts w:ascii="Arial" w:hAnsi="Arial" w:cs="Arial"/>
          <w:sz w:val="21"/>
          <w:szCs w:val="21"/>
        </w:rPr>
        <w:t xml:space="preserve">/we, the undersigned, hereby declare that I/we am/are in favour of the resolutions set out above. </w:t>
      </w:r>
    </w:p>
    <w:p w14:paraId="1474DBC6" w14:textId="77777777" w:rsidR="006F6476" w:rsidRPr="00642341" w:rsidRDefault="006F6476" w:rsidP="006F6476">
      <w:pPr>
        <w:tabs>
          <w:tab w:val="left" w:pos="-990"/>
          <w:tab w:val="left" w:pos="0"/>
        </w:tabs>
        <w:ind w:left="2835" w:hanging="2835"/>
        <w:jc w:val="both"/>
        <w:rPr>
          <w:rFonts w:ascii="Arial" w:hAnsi="Arial" w:cs="Arial"/>
          <w:sz w:val="21"/>
          <w:szCs w:val="21"/>
        </w:rPr>
      </w:pPr>
    </w:p>
    <w:p w14:paraId="621FE5A3" w14:textId="77777777" w:rsidR="00642341" w:rsidRDefault="00642341" w:rsidP="006F6476">
      <w:pPr>
        <w:tabs>
          <w:tab w:val="left" w:pos="-990"/>
          <w:tab w:val="left" w:pos="0"/>
          <w:tab w:val="left" w:pos="6521"/>
        </w:tabs>
        <w:ind w:left="2835" w:hanging="2835"/>
        <w:jc w:val="both"/>
        <w:rPr>
          <w:rFonts w:ascii="Arial" w:hAnsi="Arial" w:cs="Arial"/>
          <w:sz w:val="21"/>
          <w:szCs w:val="21"/>
        </w:rPr>
      </w:pPr>
    </w:p>
    <w:p w14:paraId="7CB98C95" w14:textId="77777777" w:rsidR="006F6476" w:rsidRPr="00642341" w:rsidRDefault="006F6476" w:rsidP="006F6476">
      <w:pPr>
        <w:tabs>
          <w:tab w:val="left" w:pos="-990"/>
          <w:tab w:val="left" w:pos="0"/>
          <w:tab w:val="left" w:pos="6521"/>
        </w:tabs>
        <w:ind w:left="2835" w:hanging="2835"/>
        <w:jc w:val="both"/>
        <w:rPr>
          <w:rFonts w:ascii="Arial" w:hAnsi="Arial" w:cs="Arial"/>
          <w:sz w:val="21"/>
          <w:szCs w:val="21"/>
        </w:rPr>
      </w:pPr>
      <w:r w:rsidRPr="00642341">
        <w:rPr>
          <w:rFonts w:ascii="Arial" w:hAnsi="Arial" w:cs="Arial"/>
          <w:sz w:val="21"/>
          <w:szCs w:val="21"/>
        </w:rPr>
        <w:tab/>
        <w:t xml:space="preserve">.........................................                 </w:t>
      </w:r>
      <w:r w:rsidRPr="00642341">
        <w:rPr>
          <w:rFonts w:ascii="Arial" w:hAnsi="Arial" w:cs="Arial"/>
          <w:sz w:val="21"/>
          <w:szCs w:val="21"/>
        </w:rPr>
        <w:tab/>
        <w:t>….. / ….. / ………</w:t>
      </w:r>
    </w:p>
    <w:p w14:paraId="75531F52" w14:textId="3D44D207" w:rsidR="006F6476" w:rsidRPr="00642341" w:rsidRDefault="006F6476" w:rsidP="006F6476">
      <w:pPr>
        <w:tabs>
          <w:tab w:val="left" w:pos="-990"/>
          <w:tab w:val="left" w:pos="0"/>
          <w:tab w:val="left" w:pos="2835"/>
          <w:tab w:val="left" w:pos="6521"/>
        </w:tabs>
        <w:jc w:val="both"/>
        <w:rPr>
          <w:rFonts w:ascii="Arial" w:hAnsi="Arial" w:cs="Arial"/>
          <w:sz w:val="21"/>
          <w:szCs w:val="21"/>
        </w:rPr>
      </w:pPr>
      <w:r w:rsidRPr="00642341">
        <w:rPr>
          <w:rFonts w:ascii="Arial" w:hAnsi="Arial" w:cs="Arial"/>
          <w:sz w:val="21"/>
          <w:szCs w:val="21"/>
        </w:rPr>
        <w:tab/>
        <w:t>(</w:t>
      </w:r>
      <w:r w:rsidR="008D7E1B">
        <w:rPr>
          <w:rFonts w:ascii="Arial" w:hAnsi="Arial" w:cs="Arial"/>
          <w:sz w:val="21"/>
          <w:szCs w:val="21"/>
        </w:rPr>
        <w:t>Edmund</w:t>
      </w:r>
      <w:r w:rsidRPr="00642341">
        <w:rPr>
          <w:rFonts w:ascii="Arial" w:hAnsi="Arial" w:cs="Arial"/>
          <w:sz w:val="21"/>
          <w:szCs w:val="21"/>
        </w:rPr>
        <w:t xml:space="preserve"> </w:t>
      </w:r>
      <w:r w:rsidR="008D7E1B">
        <w:rPr>
          <w:rFonts w:ascii="Arial" w:hAnsi="Arial" w:cs="Arial"/>
          <w:sz w:val="21"/>
          <w:szCs w:val="21"/>
        </w:rPr>
        <w:t>Abacus</w:t>
      </w:r>
      <w:r w:rsidRPr="00642341">
        <w:rPr>
          <w:rFonts w:ascii="Arial" w:hAnsi="Arial" w:cs="Arial"/>
          <w:sz w:val="21"/>
          <w:szCs w:val="21"/>
        </w:rPr>
        <w:t>)</w:t>
      </w:r>
      <w:r w:rsidR="001F430A">
        <w:rPr>
          <w:rFonts w:ascii="Arial" w:hAnsi="Arial" w:cs="Arial"/>
          <w:sz w:val="21"/>
          <w:szCs w:val="21"/>
        </w:rPr>
        <w:t xml:space="preserve"> </w:t>
      </w:r>
      <w:r w:rsidRPr="00154923">
        <w:rPr>
          <w:rFonts w:ascii="Arial" w:hAnsi="Arial" w:cs="Arial"/>
          <w:sz w:val="21"/>
          <w:szCs w:val="21"/>
        </w:rPr>
        <w:sym w:font="Wingdings" w:char="F08C"/>
      </w:r>
      <w:r>
        <w:rPr>
          <w:rFonts w:ascii="Arial" w:hAnsi="Arial" w:cs="Arial"/>
          <w:sz w:val="28"/>
          <w:szCs w:val="28"/>
          <w:vertAlign w:val="superscript"/>
        </w:rPr>
        <w:tab/>
      </w:r>
      <w:r w:rsidRPr="00642341">
        <w:rPr>
          <w:rFonts w:ascii="Arial" w:hAnsi="Arial" w:cs="Arial"/>
          <w:sz w:val="21"/>
          <w:szCs w:val="21"/>
        </w:rPr>
        <w:t xml:space="preserve">Date signed  </w:t>
      </w:r>
      <w:r w:rsidRPr="00642341">
        <w:rPr>
          <w:rFonts w:ascii="Arial" w:hAnsi="Arial" w:cs="Arial"/>
          <w:sz w:val="21"/>
          <w:szCs w:val="21"/>
          <w:vertAlign w:val="superscript"/>
        </w:rPr>
        <w:t xml:space="preserve"> </w:t>
      </w:r>
      <w:r w:rsidRPr="00642341">
        <w:rPr>
          <w:rFonts w:ascii="Arial" w:hAnsi="Arial" w:cs="Arial"/>
          <w:sz w:val="21"/>
          <w:szCs w:val="21"/>
          <w:vertAlign w:val="superscript"/>
        </w:rPr>
        <w:tab/>
      </w:r>
    </w:p>
    <w:p w14:paraId="10E57BE9" w14:textId="77777777" w:rsidR="006F6476" w:rsidRPr="00642341" w:rsidRDefault="006F6476" w:rsidP="006F6476">
      <w:pPr>
        <w:tabs>
          <w:tab w:val="left" w:pos="-990"/>
          <w:tab w:val="left" w:pos="0"/>
          <w:tab w:val="left" w:pos="2835"/>
        </w:tabs>
        <w:jc w:val="both"/>
        <w:rPr>
          <w:rFonts w:ascii="Arial" w:hAnsi="Arial" w:cs="Arial"/>
          <w:sz w:val="21"/>
          <w:szCs w:val="21"/>
        </w:rPr>
      </w:pPr>
    </w:p>
    <w:p w14:paraId="4ECF5B82" w14:textId="77777777" w:rsidR="006F6476" w:rsidRPr="00642341" w:rsidRDefault="006F6476" w:rsidP="006F6476">
      <w:pPr>
        <w:tabs>
          <w:tab w:val="left" w:pos="-990"/>
          <w:tab w:val="left" w:pos="0"/>
          <w:tab w:val="left" w:pos="2835"/>
        </w:tabs>
        <w:jc w:val="both"/>
        <w:rPr>
          <w:rFonts w:ascii="Arial" w:hAnsi="Arial" w:cs="Arial"/>
          <w:sz w:val="21"/>
          <w:szCs w:val="21"/>
        </w:rPr>
      </w:pPr>
    </w:p>
    <w:p w14:paraId="03F6571B" w14:textId="77777777" w:rsidR="006F6476" w:rsidRPr="00642341" w:rsidRDefault="006F6476" w:rsidP="006F6476">
      <w:pPr>
        <w:tabs>
          <w:tab w:val="left" w:pos="-990"/>
          <w:tab w:val="left" w:pos="0"/>
          <w:tab w:val="left" w:pos="6521"/>
        </w:tabs>
        <w:ind w:left="2835" w:hanging="2835"/>
        <w:jc w:val="both"/>
        <w:rPr>
          <w:rFonts w:ascii="Arial" w:hAnsi="Arial" w:cs="Arial"/>
          <w:sz w:val="21"/>
          <w:szCs w:val="21"/>
        </w:rPr>
      </w:pPr>
      <w:r w:rsidRPr="00642341">
        <w:rPr>
          <w:rFonts w:ascii="Arial" w:hAnsi="Arial" w:cs="Arial"/>
          <w:b/>
          <w:sz w:val="21"/>
          <w:szCs w:val="21"/>
        </w:rPr>
        <w:tab/>
      </w:r>
      <w:r w:rsidRPr="00642341">
        <w:rPr>
          <w:rFonts w:ascii="Arial" w:hAnsi="Arial" w:cs="Arial"/>
          <w:sz w:val="21"/>
          <w:szCs w:val="21"/>
        </w:rPr>
        <w:t xml:space="preserve">.........................................    </w:t>
      </w:r>
      <w:r w:rsidRPr="00642341">
        <w:rPr>
          <w:rFonts w:ascii="Arial" w:hAnsi="Arial" w:cs="Arial"/>
          <w:sz w:val="21"/>
          <w:szCs w:val="21"/>
        </w:rPr>
        <w:tab/>
        <w:t>….. / ….. / ………</w:t>
      </w:r>
    </w:p>
    <w:p w14:paraId="1C786839" w14:textId="2630E367" w:rsidR="006F6476" w:rsidRDefault="006F6476" w:rsidP="006F6476">
      <w:pPr>
        <w:tabs>
          <w:tab w:val="left" w:pos="-990"/>
          <w:tab w:val="left" w:pos="0"/>
          <w:tab w:val="left" w:pos="2835"/>
          <w:tab w:val="left" w:pos="6521"/>
        </w:tabs>
        <w:jc w:val="both"/>
        <w:rPr>
          <w:rFonts w:ascii="Arial" w:hAnsi="Arial" w:cs="Arial"/>
          <w:szCs w:val="21"/>
        </w:rPr>
      </w:pPr>
      <w:r w:rsidRPr="00642341">
        <w:rPr>
          <w:rFonts w:ascii="Arial" w:hAnsi="Arial" w:cs="Arial"/>
          <w:sz w:val="21"/>
          <w:szCs w:val="21"/>
        </w:rPr>
        <w:tab/>
        <w:t>(</w:t>
      </w:r>
      <w:r w:rsidR="008D7E1B">
        <w:rPr>
          <w:rFonts w:ascii="Arial" w:hAnsi="Arial" w:cs="Arial"/>
          <w:sz w:val="21"/>
          <w:szCs w:val="21"/>
        </w:rPr>
        <w:t>Diana Abacus</w:t>
      </w:r>
      <w:r w:rsidRPr="00642341">
        <w:rPr>
          <w:rFonts w:ascii="Arial" w:hAnsi="Arial" w:cs="Arial"/>
          <w:sz w:val="21"/>
          <w:szCs w:val="21"/>
        </w:rPr>
        <w:t>)</w:t>
      </w:r>
      <w:r w:rsidR="001F430A">
        <w:rPr>
          <w:rFonts w:ascii="Arial" w:hAnsi="Arial" w:cs="Arial"/>
          <w:sz w:val="21"/>
          <w:szCs w:val="21"/>
        </w:rPr>
        <w:t xml:space="preserve"> </w:t>
      </w:r>
      <w:r w:rsidRPr="00154923">
        <w:rPr>
          <w:rFonts w:ascii="Arial" w:hAnsi="Arial" w:cs="Arial"/>
          <w:sz w:val="21"/>
          <w:szCs w:val="21"/>
        </w:rPr>
        <w:sym w:font="Wingdings" w:char="F08C"/>
      </w:r>
      <w:r>
        <w:rPr>
          <w:rFonts w:ascii="Arial" w:hAnsi="Arial" w:cs="Arial"/>
          <w:sz w:val="28"/>
          <w:szCs w:val="28"/>
          <w:vertAlign w:val="superscript"/>
        </w:rPr>
        <w:tab/>
      </w:r>
      <w:r w:rsidRPr="00642341">
        <w:rPr>
          <w:rFonts w:ascii="Arial" w:hAnsi="Arial" w:cs="Arial"/>
          <w:sz w:val="21"/>
          <w:szCs w:val="21"/>
        </w:rPr>
        <w:t>Date signed</w:t>
      </w:r>
      <w:r>
        <w:rPr>
          <w:rFonts w:ascii="Arial" w:hAnsi="Arial" w:cs="Arial"/>
          <w:szCs w:val="21"/>
        </w:rPr>
        <w:t xml:space="preserve"> </w:t>
      </w:r>
      <w:r>
        <w:rPr>
          <w:rFonts w:ascii="Arial" w:hAnsi="Arial" w:cs="Arial"/>
        </w:rPr>
        <w:t xml:space="preserve"> </w:t>
      </w:r>
      <w:r>
        <w:rPr>
          <w:rFonts w:ascii="Arial" w:hAnsi="Arial" w:cs="Arial"/>
          <w:sz w:val="28"/>
          <w:szCs w:val="28"/>
          <w:vertAlign w:val="superscript"/>
        </w:rPr>
        <w:t xml:space="preserve"> </w:t>
      </w:r>
      <w:r>
        <w:rPr>
          <w:rFonts w:ascii="Arial" w:hAnsi="Arial" w:cs="Arial"/>
          <w:sz w:val="28"/>
          <w:szCs w:val="28"/>
          <w:vertAlign w:val="superscript"/>
        </w:rPr>
        <w:tab/>
      </w:r>
    </w:p>
    <w:p w14:paraId="52431C23" w14:textId="77777777" w:rsidR="00A93F61" w:rsidRDefault="00A93F61" w:rsidP="006F6476">
      <w:pPr>
        <w:tabs>
          <w:tab w:val="left" w:pos="-990"/>
          <w:tab w:val="left" w:pos="0"/>
        </w:tabs>
        <w:ind w:left="2835" w:hanging="2835"/>
        <w:jc w:val="both"/>
        <w:rPr>
          <w:rFonts w:ascii="Arial" w:hAnsi="Arial" w:cs="Arial"/>
          <w:b/>
          <w:szCs w:val="21"/>
        </w:rPr>
      </w:pPr>
    </w:p>
    <w:p w14:paraId="739B44DA" w14:textId="77777777" w:rsidR="00A93F61" w:rsidRDefault="00A93F61" w:rsidP="00A93F61">
      <w:pPr>
        <w:tabs>
          <w:tab w:val="left" w:pos="-990"/>
          <w:tab w:val="left" w:pos="0"/>
        </w:tabs>
        <w:ind w:left="2835" w:hanging="2835"/>
        <w:jc w:val="both"/>
        <w:rPr>
          <w:rFonts w:ascii="Arial" w:hAnsi="Arial" w:cs="Arial"/>
          <w:b/>
          <w:szCs w:val="21"/>
        </w:rPr>
      </w:pPr>
    </w:p>
    <w:p w14:paraId="26AD4CBE" w14:textId="77777777" w:rsidR="005B06C9" w:rsidRPr="005358D7" w:rsidRDefault="00B305C4" w:rsidP="005358D7">
      <w:pPr>
        <w:tabs>
          <w:tab w:val="left" w:pos="-990"/>
          <w:tab w:val="left" w:pos="0"/>
        </w:tabs>
        <w:ind w:left="2835" w:hanging="2835"/>
        <w:jc w:val="both"/>
        <w:rPr>
          <w:rFonts w:ascii="Arial" w:hAnsi="Arial" w:cs="Arial"/>
          <w:b/>
          <w:szCs w:val="21"/>
        </w:rPr>
      </w:pPr>
      <w:r>
        <w:rPr>
          <w:noProof/>
          <w:lang w:eastAsia="en-AU"/>
        </w:rPr>
        <mc:AlternateContent>
          <mc:Choice Requires="wps">
            <w:drawing>
              <wp:anchor distT="0" distB="0" distL="114300" distR="114300" simplePos="0" relativeHeight="251657728" behindDoc="0" locked="0" layoutInCell="1" allowOverlap="1" wp14:anchorId="7863DEB8" wp14:editId="2A643500">
                <wp:simplePos x="0" y="0"/>
                <wp:positionH relativeFrom="column">
                  <wp:posOffset>-111760</wp:posOffset>
                </wp:positionH>
                <wp:positionV relativeFrom="paragraph">
                  <wp:posOffset>184150</wp:posOffset>
                </wp:positionV>
                <wp:extent cx="5768975" cy="1268730"/>
                <wp:effectExtent l="0" t="0" r="0" b="1270"/>
                <wp:wrapSquare wrapText="bothSides"/>
                <wp:docPr id="203189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975" cy="1268730"/>
                        </a:xfrm>
                        <a:prstGeom prst="rect">
                          <a:avLst/>
                        </a:prstGeom>
                        <a:solidFill>
                          <a:srgbClr val="FFFFFF"/>
                        </a:solidFill>
                        <a:ln w="9525">
                          <a:solidFill>
                            <a:srgbClr val="000000"/>
                          </a:solidFill>
                          <a:miter lim="800000"/>
                          <a:headEnd/>
                          <a:tailEnd/>
                        </a:ln>
                      </wps:spPr>
                      <wps:txbx>
                        <w:txbxContent>
                          <w:p w14:paraId="03041B65" w14:textId="77777777" w:rsidR="00D80574" w:rsidRDefault="00D80574" w:rsidP="00435AC3">
                            <w:pPr>
                              <w:pStyle w:val="Note"/>
                              <w:ind w:left="851" w:hanging="851"/>
                            </w:pPr>
                            <w:r w:rsidRPr="00621E75">
                              <w:rPr>
                                <w:i w:val="0"/>
                              </w:rPr>
                              <w:sym w:font="Wingdings" w:char="F08C"/>
                            </w:r>
                            <w:r>
                              <w:t xml:space="preserve"> Note:  This circulating resolution has been prepared in accordance with the requirements of Section 248A of the Corporations Act 2001, which requires </w:t>
                            </w:r>
                            <w:r w:rsidRPr="00154923">
                              <w:rPr>
                                <w:b/>
                              </w:rPr>
                              <w:t>all</w:t>
                            </w:r>
                            <w:r>
                              <w:t xml:space="preserve"> of the directors of the company to sign the resolution.</w:t>
                            </w:r>
                            <w:r w:rsidRPr="00BD7761">
                              <w:t xml:space="preserve"> </w:t>
                            </w:r>
                            <w:r>
                              <w:t xml:space="preserve"> The resolution is effective from the date the last director signs.</w:t>
                            </w:r>
                          </w:p>
                          <w:p w14:paraId="4F9B96C8" w14:textId="488B4C85" w:rsidR="00D80574" w:rsidRDefault="00D80574" w:rsidP="00435AC3">
                            <w:pPr>
                              <w:pStyle w:val="Note"/>
                              <w:ind w:left="851" w:hanging="851"/>
                            </w:pPr>
                            <w:r>
                              <w:tab/>
                              <w:t xml:space="preserve">In the case of a single director company, the director is to sign and date the resolution as authorised by </w:t>
                            </w:r>
                            <w:r w:rsidR="002D0025">
                              <w:t>S</w:t>
                            </w:r>
                            <w:r>
                              <w:t>ection 248B of the Corporations Act 2001.</w:t>
                            </w:r>
                          </w:p>
                          <w:p w14:paraId="1EF44D21" w14:textId="6F2B055E" w:rsidR="00D80574" w:rsidRPr="00A72B2E" w:rsidRDefault="00D80574" w:rsidP="008416FE">
                            <w:pPr>
                              <w:pStyle w:val="Note"/>
                              <w:ind w:left="851" w:hanging="131"/>
                            </w:pPr>
                            <w:r>
                              <w:t xml:space="preserve">  The resolution must be made and signed by 30 June 20</w:t>
                            </w:r>
                            <w:r w:rsidR="00827C79">
                              <w:t>2</w:t>
                            </w:r>
                            <w:r w:rsidR="00B305C4">
                              <w:t>5</w:t>
                            </w:r>
                            <w: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3DEB8" id="_x0000_t202" coordsize="21600,21600" o:spt="202" path="m,l,21600r21600,l21600,xe">
                <v:stroke joinstyle="miter"/>
                <v:path gradientshapeok="t" o:connecttype="rect"/>
              </v:shapetype>
              <v:shape id="Text Box 2" o:spid="_x0000_s1026" type="#_x0000_t202" style="position:absolute;left:0;text-align:left;margin-left:-8.8pt;margin-top:14.5pt;width:454.25pt;height:9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">
                <v:path arrowok="t"/>
                <v:textbox>
                  <w:txbxContent>
                    <w:p w14:paraId="03041B65" w14:textId="77777777" w:rsidR="00D80574" w:rsidRDefault="00D80574" w:rsidP="00435AC3">
                      <w:pPr>
                        <w:pStyle w:val="Note"/>
                        <w:ind w:left="851" w:hanging="851"/>
                      </w:pPr>
                      <w:r w:rsidRPr="00621E75">
                        <w:rPr>
                          <w:i w:val="0"/>
                        </w:rPr>
                        <w:sym w:font="Wingdings" w:char="F08C"/>
                      </w:r>
                      <w:r>
                        <w:t xml:space="preserve"> Note:  This circulating resolution has been prepared in accordance with the requirements of Section 248A of the Corporations Act 2001, which requires </w:t>
                      </w:r>
                      <w:r w:rsidRPr="00154923">
                        <w:rPr>
                          <w:b/>
                        </w:rPr>
                        <w:t>all</w:t>
                      </w:r>
                      <w:r>
                        <w:t xml:space="preserve"> of the directors of the company to sign the resolution.</w:t>
                      </w:r>
                      <w:r w:rsidRPr="00BD7761">
                        <w:t xml:space="preserve"> </w:t>
                      </w:r>
                      <w:r>
                        <w:t xml:space="preserve"> The resolution is effective from the date the last director signs.</w:t>
                      </w:r>
                    </w:p>
                    <w:p w14:paraId="4F9B96C8" w14:textId="488B4C85" w:rsidR="00D80574" w:rsidRDefault="00D80574" w:rsidP="00435AC3">
                      <w:pPr>
                        <w:pStyle w:val="Note"/>
                        <w:ind w:left="851" w:hanging="851"/>
                      </w:pPr>
                      <w:r>
                        <w:tab/>
                        <w:t xml:space="preserve">In the case of a single director company, the director is to sign and date the resolution as authorised by </w:t>
                      </w:r>
                      <w:r w:rsidR="002D0025">
                        <w:t>S</w:t>
                      </w:r>
                      <w:r>
                        <w:t>ection 248B of the Corporations Act 2001.</w:t>
                      </w:r>
                    </w:p>
                    <w:p w14:paraId="1EF44D21" w14:textId="6F2B055E" w:rsidR="00D80574" w:rsidRPr="00A72B2E" w:rsidRDefault="00D80574" w:rsidP="008416FE">
                      <w:pPr>
                        <w:pStyle w:val="Note"/>
                        <w:ind w:left="851" w:hanging="131"/>
                      </w:pPr>
                      <w:r>
                        <w:t xml:space="preserve">  The resolution must be made and signed by 30 June 20</w:t>
                      </w:r>
                      <w:r w:rsidR="00827C79">
                        <w:t>2</w:t>
                      </w:r>
                      <w:r w:rsidR="00B305C4">
                        <w:t>5</w:t>
                      </w:r>
                      <w:r>
                        <w:t xml:space="preserve">. </w:t>
                      </w:r>
                    </w:p>
                  </w:txbxContent>
                </v:textbox>
                <w10:wrap type="square"/>
              </v:shape>
            </w:pict>
          </mc:Fallback>
        </mc:AlternateContent>
      </w:r>
    </w:p>
    <w:p w14:paraId="6165DDED" w14:textId="77777777" w:rsidR="00D07A7E" w:rsidRDefault="00A93F61" w:rsidP="00A93F61">
      <w:pPr>
        <w:pStyle w:val="ExampleHeading"/>
      </w:pPr>
      <w:r>
        <w:t xml:space="preserve">TAX </w:t>
      </w:r>
      <w:r w:rsidR="00415A67">
        <w:t>WARNING</w:t>
      </w:r>
      <w:r>
        <w:t xml:space="preserve"> – Streaming</w:t>
      </w:r>
      <w:r w:rsidR="005C6F41">
        <w:t xml:space="preserve"> other types of income</w:t>
      </w:r>
    </w:p>
    <w:p w14:paraId="1BFFC330" w14:textId="77777777" w:rsidR="00A85BF9" w:rsidRDefault="00684040" w:rsidP="004C2819">
      <w:pPr>
        <w:pStyle w:val="ExampleText"/>
      </w:pPr>
      <w:r>
        <w:t xml:space="preserve">The amendments made by the </w:t>
      </w:r>
      <w:r w:rsidR="005C6F41" w:rsidRPr="005C6F41">
        <w:rPr>
          <w:i/>
        </w:rPr>
        <w:t xml:space="preserve">Tax Laws Amendment (2011 Measures No. 5) </w:t>
      </w:r>
      <w:r w:rsidR="00E05D47">
        <w:rPr>
          <w:i/>
        </w:rPr>
        <w:t xml:space="preserve">Act </w:t>
      </w:r>
      <w:r w:rsidR="005C6F41" w:rsidRPr="005C6F41">
        <w:rPr>
          <w:i/>
        </w:rPr>
        <w:t>2011</w:t>
      </w:r>
      <w:r w:rsidR="005C6F41" w:rsidRPr="005C6F41">
        <w:t xml:space="preserve"> </w:t>
      </w:r>
      <w:r w:rsidR="005C6F41">
        <w:t xml:space="preserve">allow for the streaming of capital gains and </w:t>
      </w:r>
      <w:r w:rsidR="00F9173B">
        <w:t xml:space="preserve">net </w:t>
      </w:r>
      <w:r w:rsidR="005C6F41">
        <w:t>franked dividends</w:t>
      </w:r>
      <w:r w:rsidR="00E05D47">
        <w:t xml:space="preserve"> to be effective for tax purposes.  </w:t>
      </w:r>
      <w:r>
        <w:t>They do</w:t>
      </w:r>
      <w:r w:rsidR="00E05D47">
        <w:t xml:space="preserve"> </w:t>
      </w:r>
      <w:r w:rsidR="0005311D">
        <w:t xml:space="preserve">not </w:t>
      </w:r>
      <w:r w:rsidR="00E05D47">
        <w:t>in any</w:t>
      </w:r>
      <w:r w:rsidR="009C03D7">
        <w:t xml:space="preserve"> </w:t>
      </w:r>
      <w:r w:rsidR="00E05D47">
        <w:t xml:space="preserve">way endorse the </w:t>
      </w:r>
      <w:r w:rsidR="005C6F41">
        <w:t xml:space="preserve">streaming of other types of income. </w:t>
      </w:r>
      <w:r w:rsidR="00687646">
        <w:t xml:space="preserve"> </w:t>
      </w:r>
      <w:r w:rsidR="009A5AE7">
        <w:t xml:space="preserve">Further, </w:t>
      </w:r>
      <w:r w:rsidR="005B06C9">
        <w:t xml:space="preserve">the Government has acknowledged that, on </w:t>
      </w:r>
      <w:r w:rsidR="009F0DE8">
        <w:t>‘</w:t>
      </w:r>
      <w:r w:rsidR="005B06C9">
        <w:t>one view</w:t>
      </w:r>
      <w:r w:rsidR="009F0DE8">
        <w:t>’</w:t>
      </w:r>
      <w:r w:rsidR="005B06C9">
        <w:t>, streaming can no longer be maintained with respect to other income classes</w:t>
      </w:r>
      <w:r w:rsidR="00B501E6">
        <w:t xml:space="preserve"> </w:t>
      </w:r>
      <w:r w:rsidR="005B06C9">
        <w:t>not dealt with in</w:t>
      </w:r>
      <w:r w:rsidR="009F0DE8">
        <w:t xml:space="preserve"> the</w:t>
      </w:r>
      <w:r w:rsidR="005B06C9">
        <w:t xml:space="preserve"> </w:t>
      </w:r>
      <w:r w:rsidR="005B06C9" w:rsidRPr="005C6F41">
        <w:rPr>
          <w:i/>
        </w:rPr>
        <w:t xml:space="preserve">Tax Laws Amendment (2011 Measures No. 5) </w:t>
      </w:r>
      <w:r w:rsidR="00E05D47">
        <w:rPr>
          <w:i/>
        </w:rPr>
        <w:t xml:space="preserve">Act </w:t>
      </w:r>
      <w:r w:rsidR="005B06C9" w:rsidRPr="005C6F41">
        <w:rPr>
          <w:i/>
        </w:rPr>
        <w:t>2011</w:t>
      </w:r>
      <w:r w:rsidR="005B06C9">
        <w:t xml:space="preserve">.  </w:t>
      </w:r>
    </w:p>
    <w:p w14:paraId="3DEFC61B" w14:textId="78C21422" w:rsidR="00684040" w:rsidRDefault="00687646" w:rsidP="004C2819">
      <w:pPr>
        <w:pStyle w:val="ExampleText"/>
      </w:pPr>
      <w:r>
        <w:t xml:space="preserve">The ATO has withdrawn </w:t>
      </w:r>
      <w:r w:rsidR="009F0DE8">
        <w:t xml:space="preserve">its </w:t>
      </w:r>
      <w:r>
        <w:t>ruling on streaming</w:t>
      </w:r>
      <w:r w:rsidR="00C54524">
        <w:t>,</w:t>
      </w:r>
      <w:r>
        <w:t xml:space="preserve"> TR 92/13</w:t>
      </w:r>
      <w:r w:rsidR="00C54524">
        <w:t>,</w:t>
      </w:r>
      <w:r>
        <w:t xml:space="preserve"> effective 22 June 2011</w:t>
      </w:r>
      <w:r w:rsidR="00C54524">
        <w:t>.  Furthermore,</w:t>
      </w:r>
      <w:r>
        <w:t xml:space="preserve"> it </w:t>
      </w:r>
      <w:r w:rsidR="00A85BF9">
        <w:t xml:space="preserve">appears the ATO takes the view that the streaming of other classes of income </w:t>
      </w:r>
      <w:r w:rsidR="00D47126">
        <w:t>is no</w:t>
      </w:r>
      <w:r w:rsidR="00560EB3">
        <w:t>t p</w:t>
      </w:r>
      <w:r w:rsidR="00D47126">
        <w:t>ermitted.</w:t>
      </w:r>
      <w:r w:rsidR="00E05D47" w:rsidRPr="00A84CE8">
        <w:rPr>
          <w:i/>
        </w:rPr>
        <w:t xml:space="preserve"> </w:t>
      </w:r>
      <w:r w:rsidR="00D47126" w:rsidRPr="00A84CE8">
        <w:rPr>
          <w:i/>
        </w:rPr>
        <w:t xml:space="preserve"> </w:t>
      </w:r>
      <w:r w:rsidR="00303E38">
        <w:t>The follow</w:t>
      </w:r>
      <w:r w:rsidR="00D80574">
        <w:t>ing</w:t>
      </w:r>
      <w:r w:rsidR="00303E38">
        <w:t xml:space="preserve"> excerpt is taken from the ATO’s</w:t>
      </w:r>
      <w:r w:rsidR="00FC68DB">
        <w:t xml:space="preserve"> fact sheet:</w:t>
      </w:r>
      <w:r w:rsidR="00303E38">
        <w:t xml:space="preserve"> </w:t>
      </w:r>
      <w:r w:rsidR="00890222" w:rsidRPr="00154923">
        <w:rPr>
          <w:i/>
          <w:iCs/>
        </w:rPr>
        <w:t>Trustee resolutions</w:t>
      </w:r>
      <w:r w:rsidR="00684040">
        <w:t xml:space="preserve"> </w:t>
      </w:r>
      <w:r w:rsidR="00E7336D">
        <w:t xml:space="preserve">(QC 25912) </w:t>
      </w:r>
      <w:r w:rsidR="00684040">
        <w:t>which can be accessed at:</w:t>
      </w:r>
    </w:p>
    <w:p w14:paraId="328FC018" w14:textId="77777777" w:rsidR="00D80574" w:rsidRPr="00D80574" w:rsidRDefault="00753831" w:rsidP="004C2819">
      <w:pPr>
        <w:pStyle w:val="ExampleText"/>
      </w:pPr>
      <w:hyperlink r:id="rId7" w:anchor="_Are_you_seeking" w:history="1">
        <w:r>
          <w:rPr>
            <w:rStyle w:val="Hyperlink"/>
            <w:i/>
          </w:rPr>
          <w:t>https://www.ato.gov.au/General/Trusts/In-detail/Trust-tax-time-toolkit/Resolutions-checklist</w:t>
        </w:r>
      </w:hyperlink>
    </w:p>
    <w:p w14:paraId="4FC91ABB" w14:textId="77777777" w:rsidR="00303E38" w:rsidRPr="00303E38" w:rsidRDefault="00684040" w:rsidP="004C2819">
      <w:pPr>
        <w:pStyle w:val="ExampleText"/>
        <w:rPr>
          <w:b/>
          <w:i/>
        </w:rPr>
      </w:pPr>
      <w:r>
        <w:rPr>
          <w:b/>
          <w:i/>
        </w:rPr>
        <w:t>“</w:t>
      </w:r>
      <w:r w:rsidR="00303E38" w:rsidRPr="00303E38">
        <w:rPr>
          <w:b/>
          <w:i/>
        </w:rPr>
        <w:t>Are you seeking to ‘stream’ other types of income?</w:t>
      </w:r>
    </w:p>
    <w:p w14:paraId="711352BE" w14:textId="77777777" w:rsidR="00303E38" w:rsidRPr="000E1CC7" w:rsidRDefault="00303E38" w:rsidP="004C2819">
      <w:pPr>
        <w:pStyle w:val="ExampleText"/>
        <w:rPr>
          <w:i/>
        </w:rPr>
      </w:pPr>
      <w:r w:rsidRPr="00303E38">
        <w:rPr>
          <w:i/>
        </w:rPr>
        <w:t xml:space="preserve">The tax attributes of other types of income cannot be separately streamed to different beneficiaries in the way that capital gains and franked distributions may be streamed. Under the general trust-assessing provisions in tax law, each beneficiary is taxed on a proportionate share of each </w:t>
      </w:r>
      <w:r w:rsidRPr="00303E38">
        <w:rPr>
          <w:i/>
        </w:rPr>
        <w:lastRenderedPageBreak/>
        <w:t xml:space="preserve">component of </w:t>
      </w:r>
      <w:r w:rsidR="005C64AF">
        <w:rPr>
          <w:i/>
        </w:rPr>
        <w:t xml:space="preserve">the trust’s </w:t>
      </w:r>
      <w:r w:rsidRPr="00303E38">
        <w:rPr>
          <w:i/>
        </w:rPr>
        <w:t xml:space="preserve">net </w:t>
      </w:r>
      <w:r w:rsidR="005C64AF">
        <w:rPr>
          <w:i/>
        </w:rPr>
        <w:t xml:space="preserve">(taxable) </w:t>
      </w:r>
      <w:r w:rsidRPr="00303E38">
        <w:rPr>
          <w:i/>
        </w:rPr>
        <w:t>income and cannot be treated as having a share of net income that consists of one category of income</w:t>
      </w:r>
      <w:r w:rsidR="000E1CC7">
        <w:rPr>
          <w:i/>
        </w:rPr>
        <w:t xml:space="preserve"> (for example, foreign income)</w:t>
      </w:r>
      <w:r w:rsidRPr="00303E38">
        <w:rPr>
          <w:i/>
        </w:rPr>
        <w:t>.</w:t>
      </w:r>
      <w:r w:rsidR="00684040">
        <w:t>”</w:t>
      </w:r>
    </w:p>
    <w:p w14:paraId="0D5A48EC" w14:textId="77777777" w:rsidR="00E05D47" w:rsidRDefault="00E05D47" w:rsidP="004C2819">
      <w:pPr>
        <w:pStyle w:val="ExampleText"/>
      </w:pPr>
      <w:r>
        <w:t>Th</w:t>
      </w:r>
      <w:r w:rsidR="00A84CE8">
        <w:t xml:space="preserve">e above </w:t>
      </w:r>
      <w:r>
        <w:t xml:space="preserve">example resolution </w:t>
      </w:r>
      <w:r w:rsidR="00684040">
        <w:t>(</w:t>
      </w:r>
      <w:r w:rsidR="00684040" w:rsidRPr="008C2910">
        <w:rPr>
          <w:i/>
        </w:rPr>
        <w:t>‘</w:t>
      </w:r>
      <w:r w:rsidR="00684040" w:rsidRPr="002C600B">
        <w:rPr>
          <w:b/>
          <w:bCs/>
          <w:iCs/>
        </w:rPr>
        <w:t>Example resolution 2</w:t>
      </w:r>
      <w:r w:rsidR="00684040" w:rsidRPr="008C2910">
        <w:rPr>
          <w:i/>
        </w:rPr>
        <w:t>’</w:t>
      </w:r>
      <w:r w:rsidR="00684040">
        <w:t xml:space="preserve">) </w:t>
      </w:r>
      <w:r>
        <w:t>does not contemplate the streaming of amounts other than capital gains and franked dividends</w:t>
      </w:r>
      <w:r w:rsidR="00A84CE8">
        <w:t>.</w:t>
      </w:r>
      <w:r>
        <w:t xml:space="preserve">  </w:t>
      </w:r>
    </w:p>
    <w:p w14:paraId="5BAC4FFD" w14:textId="77777777" w:rsidR="00A85BF9" w:rsidRDefault="00E05D47" w:rsidP="00753831">
      <w:pPr>
        <w:pStyle w:val="ExampleText"/>
      </w:pPr>
      <w:r>
        <w:t xml:space="preserve">Should the resolution be modified to stream other types of income, </w:t>
      </w:r>
      <w:r w:rsidR="00D47126">
        <w:t xml:space="preserve">it should be expected that the ATO </w:t>
      </w:r>
      <w:r w:rsidR="00687646">
        <w:t xml:space="preserve">may </w:t>
      </w:r>
      <w:r w:rsidR="00D47126">
        <w:t xml:space="preserve">challenge the effectiveness of the streaming, and further that the streaming may or may not withstand judicial review.  </w:t>
      </w:r>
      <w:r w:rsidR="00687646">
        <w:t>Therefore, o</w:t>
      </w:r>
      <w:r w:rsidR="00D47126">
        <w:t>ther classes of income should not be streamed unless due consideration is given to</w:t>
      </w:r>
      <w:r w:rsidR="00A84CE8">
        <w:t xml:space="preserve"> the</w:t>
      </w:r>
      <w:r w:rsidR="00D47126">
        <w:t xml:space="preserve"> potential consequences in relation to legal costs in defending the position, and amended assessments, penalties and interest if the defence is unsuccessful. </w:t>
      </w:r>
    </w:p>
    <w:p w14:paraId="7C8576F8" w14:textId="77777777" w:rsidR="00C00AC0" w:rsidRPr="004C2819" w:rsidRDefault="00C00AC0" w:rsidP="00C00AC0">
      <w:pPr>
        <w:pStyle w:val="BodyText"/>
        <w:rPr>
          <w:sz w:val="12"/>
          <w:szCs w:val="12"/>
        </w:rPr>
      </w:pPr>
    </w:p>
    <w:p w14:paraId="27321509" w14:textId="77777777" w:rsidR="00C00AC0" w:rsidRDefault="00C00AC0" w:rsidP="00C00AC0">
      <w:pPr>
        <w:pStyle w:val="ExampleHeading"/>
      </w:pPr>
      <w:r>
        <w:t xml:space="preserve">TAX WARNING – Capital gains </w:t>
      </w:r>
    </w:p>
    <w:p w14:paraId="475DC75F" w14:textId="77777777" w:rsidR="00C00AC0" w:rsidRDefault="00C00AC0" w:rsidP="00753831">
      <w:pPr>
        <w:pStyle w:val="ExampleText"/>
        <w:spacing w:after="120"/>
      </w:pPr>
      <w:r w:rsidRPr="0005311D">
        <w:t xml:space="preserve">This </w:t>
      </w:r>
      <w:r>
        <w:t xml:space="preserve">resolution does not (without modification): </w:t>
      </w:r>
    </w:p>
    <w:p w14:paraId="73B65DD4" w14:textId="77777777" w:rsidR="00C00AC0" w:rsidRDefault="00C00AC0" w:rsidP="004C2819">
      <w:pPr>
        <w:pStyle w:val="Bulletsinexample"/>
      </w:pPr>
      <w:r>
        <w:t>apply capital losses in the most tax</w:t>
      </w:r>
      <w:r w:rsidR="004B1AF9">
        <w:t>-</w:t>
      </w:r>
      <w:r>
        <w:t xml:space="preserve">effective way </w:t>
      </w:r>
      <w:r w:rsidR="004B1AF9">
        <w:t>(</w:t>
      </w:r>
      <w:r>
        <w:t>e.g., against non-discount capital gains</w:t>
      </w:r>
      <w:r w:rsidR="004B1AF9">
        <w:t>)</w:t>
      </w:r>
      <w:r>
        <w:t xml:space="preserve">; </w:t>
      </w:r>
    </w:p>
    <w:p w14:paraId="363A7172" w14:textId="77777777" w:rsidR="00C00AC0" w:rsidRDefault="00C00AC0" w:rsidP="004C2819">
      <w:pPr>
        <w:pStyle w:val="Bulletsinexample"/>
      </w:pPr>
      <w:r>
        <w:t>isolate non-discount capital gains to company beneficiaries; or</w:t>
      </w:r>
    </w:p>
    <w:p w14:paraId="7B1EFDC0" w14:textId="77777777" w:rsidR="00C00AC0" w:rsidRPr="0005311D" w:rsidRDefault="00C00AC0" w:rsidP="008A6178">
      <w:pPr>
        <w:pStyle w:val="Bulletsinexample"/>
        <w:spacing w:after="160"/>
      </w:pPr>
      <w:r>
        <w:t xml:space="preserve">cater for capital gains arising as a result of the operation of the market value substitution rule (‘MVSR’).  In such cases, </w:t>
      </w:r>
      <w:r w:rsidRPr="008D089F">
        <w:rPr>
          <w:b/>
          <w:bCs/>
          <w:iCs/>
        </w:rPr>
        <w:t>Example resolution 1</w:t>
      </w:r>
      <w:r>
        <w:t xml:space="preserve"> should be used.  Where the trust has derived capital gains both as a result of the MVSR and otherwise, specialist advice should be sought.   </w:t>
      </w:r>
    </w:p>
    <w:p w14:paraId="6EF998B2" w14:textId="77777777" w:rsidR="00C00AC0" w:rsidRDefault="00C00AC0" w:rsidP="00452FC8">
      <w:pPr>
        <w:pStyle w:val="BodyText"/>
      </w:pPr>
    </w:p>
    <w:sectPr w:rsidR="00C00AC0" w:rsidSect="00D342E4">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A3D4" w14:textId="77777777" w:rsidR="006142F0" w:rsidRDefault="006142F0">
      <w:r>
        <w:separator/>
      </w:r>
    </w:p>
  </w:endnote>
  <w:endnote w:type="continuationSeparator" w:id="0">
    <w:p w14:paraId="4D9D1813" w14:textId="77777777" w:rsidR="006142F0" w:rsidRDefault="0061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awati TC Regular">
    <w:altName w:val="Microsoft JhengHei"/>
    <w:panose1 w:val="00000000000000000000"/>
    <w:charset w:val="88"/>
    <w:family w:val="decorative"/>
    <w:notTrueType/>
    <w:pitch w:val="variable"/>
    <w:sig w:usb0="A00000FF" w:usb1="5889787B" w:usb2="00000016" w:usb3="00000000" w:csb0="001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BD53" w14:textId="77777777" w:rsidR="00D80574" w:rsidRPr="007E37EC" w:rsidRDefault="00D80574" w:rsidP="007E37E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E8DB" w14:textId="77777777" w:rsidR="00D80574" w:rsidRPr="007E37EC" w:rsidRDefault="00D80574" w:rsidP="007E37E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5938" w14:textId="77777777" w:rsidR="00D80574" w:rsidRDefault="00D8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A663" w14:textId="77777777" w:rsidR="006142F0" w:rsidRDefault="006142F0">
      <w:r>
        <w:separator/>
      </w:r>
    </w:p>
  </w:footnote>
  <w:footnote w:type="continuationSeparator" w:id="0">
    <w:p w14:paraId="04A56BE0" w14:textId="77777777" w:rsidR="006142F0" w:rsidRDefault="0061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F246" w14:textId="77777777" w:rsidR="00D80574" w:rsidRPr="00470414" w:rsidRDefault="00D80574" w:rsidP="0047041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4C68" w14:textId="77777777" w:rsidR="00D80574" w:rsidRPr="00470414" w:rsidRDefault="00D80574" w:rsidP="0047041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DB0F" w14:textId="77777777" w:rsidR="00D80574" w:rsidRDefault="00D80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530C6"/>
    <w:multiLevelType w:val="hybridMultilevel"/>
    <w:tmpl w:val="9650FF08"/>
    <w:lvl w:ilvl="0" w:tplc="B6F20BA2">
      <w:start w:val="1"/>
      <w:numFmt w:val="lowerLetter"/>
      <w:lvlText w:val="(%1)"/>
      <w:lvlJc w:val="left"/>
      <w:pPr>
        <w:tabs>
          <w:tab w:val="num" w:pos="3195"/>
        </w:tabs>
        <w:ind w:left="3195" w:hanging="36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2" w15:restartNumberingAfterBreak="0">
    <w:nsid w:val="1BBA6711"/>
    <w:multiLevelType w:val="hybridMultilevel"/>
    <w:tmpl w:val="27F68B04"/>
    <w:lvl w:ilvl="0" w:tplc="554EE202">
      <w:start w:val="1"/>
      <w:numFmt w:val="bullet"/>
      <w:pStyle w:val="Dashpoint3rdlevel"/>
      <w:lvlText w:val="–"/>
      <w:lvlJc w:val="left"/>
      <w:pPr>
        <w:tabs>
          <w:tab w:val="num" w:pos="1134"/>
        </w:tabs>
        <w:ind w:left="1134" w:hanging="283"/>
      </w:pPr>
      <w:rPr>
        <w:rFonts w:ascii="Wawati TC Regular" w:eastAsia="Wawati TC Regular" w:hAnsi="Wawati TC 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C166C"/>
    <w:multiLevelType w:val="hybridMultilevel"/>
    <w:tmpl w:val="6BF643FE"/>
    <w:lvl w:ilvl="0" w:tplc="DD7673C8">
      <w:start w:val="1"/>
      <w:numFmt w:val="decimal"/>
      <w:pStyle w:val="Numberpoints"/>
      <w:lvlText w:val="%1."/>
      <w:lvlJc w:val="left"/>
      <w:pPr>
        <w:tabs>
          <w:tab w:val="num" w:pos="57"/>
        </w:tabs>
        <w:ind w:left="57" w:hanging="57"/>
      </w:pPr>
      <w:rPr>
        <w:rFonts w:ascii="Arial" w:hAnsi="Arial" w:hint="default"/>
        <w:b w:val="0"/>
        <w:bCs w:val="0"/>
        <w:i w:val="0"/>
        <w:iCs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53C1B"/>
    <w:multiLevelType w:val="hybridMultilevel"/>
    <w:tmpl w:val="991A044C"/>
    <w:lvl w:ilvl="0" w:tplc="5346277E">
      <w:start w:val="1"/>
      <w:numFmt w:val="lowerLetter"/>
      <w:pStyle w:val="AlphapointsunderNumberpoints"/>
      <w:lvlText w:val="(%1)"/>
      <w:lvlJc w:val="left"/>
      <w:pPr>
        <w:ind w:left="644" w:hanging="360"/>
      </w:pPr>
      <w:rPr>
        <w:rFonts w:hint="default"/>
        <w:sz w:val="21"/>
        <w:szCs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0182E"/>
    <w:multiLevelType w:val="hybridMultilevel"/>
    <w:tmpl w:val="39248DCE"/>
    <w:lvl w:ilvl="0" w:tplc="821A9204">
      <w:start w:val="1"/>
      <w:numFmt w:val="bullet"/>
      <w:pStyle w:val="Bulletsinexample"/>
      <w:lvlText w:val=""/>
      <w:lvlJc w:val="left"/>
      <w:pPr>
        <w:tabs>
          <w:tab w:val="num" w:pos="284"/>
        </w:tabs>
        <w:ind w:left="284"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8" w15:restartNumberingAfterBreak="0">
    <w:nsid w:val="45EB789A"/>
    <w:multiLevelType w:val="hybridMultilevel"/>
    <w:tmpl w:val="32E620E2"/>
    <w:lvl w:ilvl="0" w:tplc="81B6A7EA">
      <w:start w:val="1"/>
      <w:numFmt w:val="decimal"/>
      <w:pStyle w:val="Numberpointsinexample"/>
      <w:lvlText w:val="%1."/>
      <w:lvlJc w:val="left"/>
      <w:pPr>
        <w:tabs>
          <w:tab w:val="num" w:pos="284"/>
        </w:tabs>
        <w:ind w:left="284" w:hanging="284"/>
      </w:pPr>
      <w:rPr>
        <w:rFonts w:ascii="Arial" w:hAnsi="Arial" w:hint="default"/>
        <w:b w:val="0"/>
        <w:bCs w:val="0"/>
        <w:i w:val="0"/>
        <w:iCs w:val="0"/>
        <w:sz w:val="21"/>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B5E17"/>
    <w:multiLevelType w:val="hybridMultilevel"/>
    <w:tmpl w:val="2EC80A78"/>
    <w:lvl w:ilvl="0" w:tplc="B232D5D6">
      <w:start w:val="1"/>
      <w:numFmt w:val="bullet"/>
      <w:pStyle w:val="BulletunderNumberpoint"/>
      <w:lvlText w:val=""/>
      <w:lvlJc w:val="left"/>
      <w:pPr>
        <w:tabs>
          <w:tab w:val="num" w:pos="567"/>
        </w:tabs>
        <w:ind w:left="567" w:hanging="283"/>
      </w:pPr>
      <w:rPr>
        <w:rFonts w:ascii="Symbol" w:hAnsi="Symbo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71D37"/>
    <w:multiLevelType w:val="hybridMultilevel"/>
    <w:tmpl w:val="6FBE2D1C"/>
    <w:lvl w:ilvl="0" w:tplc="D49054DE">
      <w:start w:val="1"/>
      <w:numFmt w:val="bullet"/>
      <w:pStyle w:val="Bullets1stlevel"/>
      <w:lvlText w:val=""/>
      <w:lvlJc w:val="left"/>
      <w:pPr>
        <w:tabs>
          <w:tab w:val="num" w:pos="284"/>
        </w:tabs>
        <w:ind w:left="284" w:hanging="284"/>
      </w:pPr>
      <w:rPr>
        <w:rFonts w:ascii="Symbol" w:hAnsi="Symbol" w:hint="default"/>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A153C"/>
    <w:multiLevelType w:val="hybridMultilevel"/>
    <w:tmpl w:val="D6DC70D8"/>
    <w:lvl w:ilvl="0" w:tplc="390854C0">
      <w:start w:val="1"/>
      <w:numFmt w:val="bullet"/>
      <w:pStyle w:val="Bulletunderalphapoint"/>
      <w:lvlText w:val=""/>
      <w:lvlJc w:val="left"/>
      <w:pPr>
        <w:tabs>
          <w:tab w:val="num" w:pos="709"/>
        </w:tabs>
        <w:ind w:left="709"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0696B"/>
    <w:multiLevelType w:val="hybridMultilevel"/>
    <w:tmpl w:val="208A9222"/>
    <w:lvl w:ilvl="0" w:tplc="B4548858">
      <w:start w:val="1"/>
      <w:numFmt w:val="lowerLetter"/>
      <w:pStyle w:val="Alphapointsinexample"/>
      <w:lvlText w:val="(%1)"/>
      <w:lvlJc w:val="left"/>
      <w:pPr>
        <w:tabs>
          <w:tab w:val="num" w:pos="425"/>
        </w:tabs>
        <w:ind w:left="425" w:hanging="425"/>
      </w:pPr>
      <w:rPr>
        <w:rFonts w:ascii="Arial" w:hAnsi="Arial" w:hint="default"/>
        <w:b w:val="0"/>
        <w:bCs w:val="0"/>
        <w:i w:val="0"/>
        <w:iCs w:val="0"/>
        <w:sz w:val="21"/>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5562D"/>
    <w:multiLevelType w:val="hybridMultilevel"/>
    <w:tmpl w:val="67E8CD82"/>
    <w:lvl w:ilvl="0" w:tplc="A4A6FA9C">
      <w:start w:val="1"/>
      <w:numFmt w:val="bullet"/>
      <w:pStyle w:val="Dash2ndlevelunderbullet"/>
      <w:lvlText w:val="–"/>
      <w:lvlJc w:val="left"/>
      <w:pPr>
        <w:tabs>
          <w:tab w:val="num" w:pos="567"/>
        </w:tabs>
        <w:ind w:left="567" w:hanging="283"/>
      </w:pPr>
      <w:rPr>
        <w:rFonts w:ascii="Wawati TC Regular" w:eastAsia="Wawati TC Regular" w:hAnsi="Wawati TC Regular" w:hint="eastAsia"/>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361B5"/>
    <w:multiLevelType w:val="hybridMultilevel"/>
    <w:tmpl w:val="5636D714"/>
    <w:lvl w:ilvl="0" w:tplc="9FDAE756">
      <w:start w:val="1"/>
      <w:numFmt w:val="lowerLetter"/>
      <w:pStyle w:val="Alphapoints"/>
      <w:lvlText w:val="(%1)"/>
      <w:lvlJc w:val="left"/>
      <w:pPr>
        <w:ind w:left="425" w:hanging="425"/>
      </w:pPr>
      <w:rPr>
        <w:rFonts w:hint="default"/>
        <w:sz w:val="21"/>
        <w:szCs w:val="2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16" w15:restartNumberingAfterBreak="0">
    <w:nsid w:val="792608EB"/>
    <w:multiLevelType w:val="hybridMultilevel"/>
    <w:tmpl w:val="96A4B1B8"/>
    <w:lvl w:ilvl="0" w:tplc="116EED34">
      <w:start w:val="1"/>
      <w:numFmt w:val="bullet"/>
      <w:pStyle w:val="Bulletsunderalpha3rdlevel"/>
      <w:lvlText w:val=""/>
      <w:lvlJc w:val="left"/>
      <w:pPr>
        <w:ind w:left="1069"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05E21"/>
    <w:multiLevelType w:val="singleLevel"/>
    <w:tmpl w:val="CE52C29C"/>
    <w:lvl w:ilvl="0">
      <w:start w:val="1"/>
      <w:numFmt w:val="lowerLetter"/>
      <w:pStyle w:val="AlphaPoints0"/>
      <w:lvlText w:val="(%1)"/>
      <w:lvlJc w:val="left"/>
      <w:pPr>
        <w:tabs>
          <w:tab w:val="num" w:pos="720"/>
        </w:tabs>
        <w:ind w:left="360" w:hanging="360"/>
      </w:pPr>
      <w:rPr>
        <w:rFonts w:hint="default"/>
        <w:b w:val="0"/>
        <w:i w:val="0"/>
      </w:rPr>
    </w:lvl>
  </w:abstractNum>
  <w:num w:numId="1" w16cid:durableId="593635213">
    <w:abstractNumId w:val="15"/>
  </w:num>
  <w:num w:numId="2" w16cid:durableId="64256708">
    <w:abstractNumId w:val="17"/>
  </w:num>
  <w:num w:numId="3" w16cid:durableId="367803528">
    <w:abstractNumId w:val="7"/>
  </w:num>
  <w:num w:numId="4" w16cid:durableId="1700933321">
    <w:abstractNumId w:val="0"/>
  </w:num>
  <w:num w:numId="5" w16cid:durableId="178085025">
    <w:abstractNumId w:val="6"/>
  </w:num>
  <w:num w:numId="6" w16cid:durableId="1625690969">
    <w:abstractNumId w:val="1"/>
  </w:num>
  <w:num w:numId="7" w16cid:durableId="1804230685">
    <w:abstractNumId w:val="14"/>
  </w:num>
  <w:num w:numId="8" w16cid:durableId="181827604">
    <w:abstractNumId w:val="16"/>
  </w:num>
  <w:num w:numId="9" w16cid:durableId="1827168423">
    <w:abstractNumId w:val="13"/>
  </w:num>
  <w:num w:numId="10" w16cid:durableId="859323152">
    <w:abstractNumId w:val="10"/>
  </w:num>
  <w:num w:numId="11" w16cid:durableId="649871971">
    <w:abstractNumId w:val="4"/>
  </w:num>
  <w:num w:numId="12" w16cid:durableId="471798959">
    <w:abstractNumId w:val="5"/>
  </w:num>
  <w:num w:numId="13" w16cid:durableId="933978986">
    <w:abstractNumId w:val="11"/>
  </w:num>
  <w:num w:numId="14" w16cid:durableId="672028345">
    <w:abstractNumId w:val="2"/>
  </w:num>
  <w:num w:numId="15" w16cid:durableId="1349065146">
    <w:abstractNumId w:val="9"/>
  </w:num>
  <w:num w:numId="16" w16cid:durableId="762653039">
    <w:abstractNumId w:val="8"/>
    <w:lvlOverride w:ilvl="0">
      <w:startOverride w:val="1"/>
    </w:lvlOverride>
  </w:num>
  <w:num w:numId="17" w16cid:durableId="1182550611">
    <w:abstractNumId w:val="12"/>
    <w:lvlOverride w:ilvl="0">
      <w:startOverride w:val="1"/>
    </w:lvlOverride>
  </w:num>
  <w:num w:numId="18" w16cid:durableId="181670602">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61"/>
    <w:rsid w:val="000057D5"/>
    <w:rsid w:val="000226C5"/>
    <w:rsid w:val="00023854"/>
    <w:rsid w:val="00027A36"/>
    <w:rsid w:val="00032561"/>
    <w:rsid w:val="0004028E"/>
    <w:rsid w:val="00050111"/>
    <w:rsid w:val="00051BFF"/>
    <w:rsid w:val="0005311D"/>
    <w:rsid w:val="000610F8"/>
    <w:rsid w:val="00063E4F"/>
    <w:rsid w:val="00064E6D"/>
    <w:rsid w:val="00072A17"/>
    <w:rsid w:val="00077602"/>
    <w:rsid w:val="00081626"/>
    <w:rsid w:val="00083FCD"/>
    <w:rsid w:val="00087FEF"/>
    <w:rsid w:val="000B3B41"/>
    <w:rsid w:val="000B578B"/>
    <w:rsid w:val="000D0B78"/>
    <w:rsid w:val="000D5BDD"/>
    <w:rsid w:val="000D72D3"/>
    <w:rsid w:val="000D7D5B"/>
    <w:rsid w:val="000E051B"/>
    <w:rsid w:val="000E1CC7"/>
    <w:rsid w:val="000E511F"/>
    <w:rsid w:val="001028D6"/>
    <w:rsid w:val="00104E62"/>
    <w:rsid w:val="001230E0"/>
    <w:rsid w:val="00133B34"/>
    <w:rsid w:val="00134623"/>
    <w:rsid w:val="00142346"/>
    <w:rsid w:val="001471B9"/>
    <w:rsid w:val="00153A0F"/>
    <w:rsid w:val="00154923"/>
    <w:rsid w:val="00174C43"/>
    <w:rsid w:val="00176ED9"/>
    <w:rsid w:val="0018331F"/>
    <w:rsid w:val="00192D1F"/>
    <w:rsid w:val="001A6C2D"/>
    <w:rsid w:val="001F430A"/>
    <w:rsid w:val="002244BE"/>
    <w:rsid w:val="00227485"/>
    <w:rsid w:val="002343E0"/>
    <w:rsid w:val="00296196"/>
    <w:rsid w:val="002A6BBB"/>
    <w:rsid w:val="002B625A"/>
    <w:rsid w:val="002C600B"/>
    <w:rsid w:val="002C7708"/>
    <w:rsid w:val="002D0025"/>
    <w:rsid w:val="002F2510"/>
    <w:rsid w:val="00300DCA"/>
    <w:rsid w:val="00301836"/>
    <w:rsid w:val="00302400"/>
    <w:rsid w:val="00303E38"/>
    <w:rsid w:val="00322CC7"/>
    <w:rsid w:val="0033345C"/>
    <w:rsid w:val="00335D6E"/>
    <w:rsid w:val="00377344"/>
    <w:rsid w:val="003817CE"/>
    <w:rsid w:val="00382162"/>
    <w:rsid w:val="00395912"/>
    <w:rsid w:val="00396B9B"/>
    <w:rsid w:val="003A3E38"/>
    <w:rsid w:val="003A58A9"/>
    <w:rsid w:val="003C3F05"/>
    <w:rsid w:val="0040081A"/>
    <w:rsid w:val="004009A8"/>
    <w:rsid w:val="00401935"/>
    <w:rsid w:val="00411EE7"/>
    <w:rsid w:val="00413805"/>
    <w:rsid w:val="00415A67"/>
    <w:rsid w:val="0041718A"/>
    <w:rsid w:val="004247D5"/>
    <w:rsid w:val="00425619"/>
    <w:rsid w:val="00435AC3"/>
    <w:rsid w:val="00452FC8"/>
    <w:rsid w:val="00466544"/>
    <w:rsid w:val="00470414"/>
    <w:rsid w:val="004715F0"/>
    <w:rsid w:val="00477588"/>
    <w:rsid w:val="00481C5A"/>
    <w:rsid w:val="004A57A9"/>
    <w:rsid w:val="004B1AF9"/>
    <w:rsid w:val="004C2819"/>
    <w:rsid w:val="004D016F"/>
    <w:rsid w:val="004E161A"/>
    <w:rsid w:val="004E3D4E"/>
    <w:rsid w:val="004E4534"/>
    <w:rsid w:val="004E4AA3"/>
    <w:rsid w:val="004E5243"/>
    <w:rsid w:val="004F0E91"/>
    <w:rsid w:val="004F2655"/>
    <w:rsid w:val="004F2F0C"/>
    <w:rsid w:val="004F69FF"/>
    <w:rsid w:val="00505F65"/>
    <w:rsid w:val="0051172F"/>
    <w:rsid w:val="005152B4"/>
    <w:rsid w:val="00516E7E"/>
    <w:rsid w:val="00516FF1"/>
    <w:rsid w:val="00520EEB"/>
    <w:rsid w:val="005310F4"/>
    <w:rsid w:val="00533DD3"/>
    <w:rsid w:val="005358D7"/>
    <w:rsid w:val="00546DB7"/>
    <w:rsid w:val="00555A0C"/>
    <w:rsid w:val="00560EB3"/>
    <w:rsid w:val="0056149F"/>
    <w:rsid w:val="0059755B"/>
    <w:rsid w:val="005B06C9"/>
    <w:rsid w:val="005B5A2E"/>
    <w:rsid w:val="005C64AF"/>
    <w:rsid w:val="005C6F41"/>
    <w:rsid w:val="005D15E8"/>
    <w:rsid w:val="005D26A3"/>
    <w:rsid w:val="005E0A64"/>
    <w:rsid w:val="005E15D1"/>
    <w:rsid w:val="005E26E7"/>
    <w:rsid w:val="005F0EE5"/>
    <w:rsid w:val="00607492"/>
    <w:rsid w:val="006124F8"/>
    <w:rsid w:val="006142F0"/>
    <w:rsid w:val="0062337E"/>
    <w:rsid w:val="006343DD"/>
    <w:rsid w:val="006345A6"/>
    <w:rsid w:val="00642341"/>
    <w:rsid w:val="00675299"/>
    <w:rsid w:val="00676D23"/>
    <w:rsid w:val="00684040"/>
    <w:rsid w:val="00685F71"/>
    <w:rsid w:val="00687646"/>
    <w:rsid w:val="006D7329"/>
    <w:rsid w:val="006F0C47"/>
    <w:rsid w:val="006F1AA1"/>
    <w:rsid w:val="006F6476"/>
    <w:rsid w:val="00717388"/>
    <w:rsid w:val="00732EA1"/>
    <w:rsid w:val="00741220"/>
    <w:rsid w:val="00753831"/>
    <w:rsid w:val="00754D98"/>
    <w:rsid w:val="007919B9"/>
    <w:rsid w:val="007A0C04"/>
    <w:rsid w:val="007A461F"/>
    <w:rsid w:val="007A56BF"/>
    <w:rsid w:val="007D6F85"/>
    <w:rsid w:val="007E37EC"/>
    <w:rsid w:val="008019F7"/>
    <w:rsid w:val="008035B5"/>
    <w:rsid w:val="008042CD"/>
    <w:rsid w:val="0080738F"/>
    <w:rsid w:val="00816C0D"/>
    <w:rsid w:val="008216C8"/>
    <w:rsid w:val="00827C79"/>
    <w:rsid w:val="008416FE"/>
    <w:rsid w:val="008434A4"/>
    <w:rsid w:val="0084643D"/>
    <w:rsid w:val="00847235"/>
    <w:rsid w:val="00875BA3"/>
    <w:rsid w:val="00890222"/>
    <w:rsid w:val="008A37BA"/>
    <w:rsid w:val="008A6178"/>
    <w:rsid w:val="008B0E83"/>
    <w:rsid w:val="008C2910"/>
    <w:rsid w:val="008D089F"/>
    <w:rsid w:val="008D49A5"/>
    <w:rsid w:val="008D7E1B"/>
    <w:rsid w:val="008E0023"/>
    <w:rsid w:val="008E584C"/>
    <w:rsid w:val="009115A8"/>
    <w:rsid w:val="009304C0"/>
    <w:rsid w:val="0093417F"/>
    <w:rsid w:val="00936C51"/>
    <w:rsid w:val="009565FC"/>
    <w:rsid w:val="00992658"/>
    <w:rsid w:val="0099571E"/>
    <w:rsid w:val="009A13E1"/>
    <w:rsid w:val="009A5AE7"/>
    <w:rsid w:val="009A6AD3"/>
    <w:rsid w:val="009C03D7"/>
    <w:rsid w:val="009C048B"/>
    <w:rsid w:val="009E555B"/>
    <w:rsid w:val="009F0DE8"/>
    <w:rsid w:val="009F547A"/>
    <w:rsid w:val="00A021F5"/>
    <w:rsid w:val="00A040BB"/>
    <w:rsid w:val="00A04600"/>
    <w:rsid w:val="00A84CE8"/>
    <w:rsid w:val="00A85BF9"/>
    <w:rsid w:val="00A93F61"/>
    <w:rsid w:val="00AA11A7"/>
    <w:rsid w:val="00AA3317"/>
    <w:rsid w:val="00AB0811"/>
    <w:rsid w:val="00AD1164"/>
    <w:rsid w:val="00AF28F3"/>
    <w:rsid w:val="00B05A78"/>
    <w:rsid w:val="00B112E3"/>
    <w:rsid w:val="00B11ABE"/>
    <w:rsid w:val="00B25DC4"/>
    <w:rsid w:val="00B27A08"/>
    <w:rsid w:val="00B30470"/>
    <w:rsid w:val="00B305C4"/>
    <w:rsid w:val="00B42DA4"/>
    <w:rsid w:val="00B501E6"/>
    <w:rsid w:val="00B518AF"/>
    <w:rsid w:val="00B53139"/>
    <w:rsid w:val="00B613A3"/>
    <w:rsid w:val="00B65D14"/>
    <w:rsid w:val="00B661AF"/>
    <w:rsid w:val="00B85EC6"/>
    <w:rsid w:val="00BA3EBA"/>
    <w:rsid w:val="00BB658D"/>
    <w:rsid w:val="00BC1580"/>
    <w:rsid w:val="00BD125D"/>
    <w:rsid w:val="00BE3E1B"/>
    <w:rsid w:val="00BE75E3"/>
    <w:rsid w:val="00C00AC0"/>
    <w:rsid w:val="00C04F87"/>
    <w:rsid w:val="00C264AE"/>
    <w:rsid w:val="00C462E5"/>
    <w:rsid w:val="00C54524"/>
    <w:rsid w:val="00C57C72"/>
    <w:rsid w:val="00C633E3"/>
    <w:rsid w:val="00C7364F"/>
    <w:rsid w:val="00C93B5F"/>
    <w:rsid w:val="00C944A0"/>
    <w:rsid w:val="00CC158A"/>
    <w:rsid w:val="00CD1A02"/>
    <w:rsid w:val="00CE7E1F"/>
    <w:rsid w:val="00CF5384"/>
    <w:rsid w:val="00D01375"/>
    <w:rsid w:val="00D06AAF"/>
    <w:rsid w:val="00D07A7E"/>
    <w:rsid w:val="00D2028E"/>
    <w:rsid w:val="00D342E4"/>
    <w:rsid w:val="00D47126"/>
    <w:rsid w:val="00D47BF6"/>
    <w:rsid w:val="00D706DC"/>
    <w:rsid w:val="00D72CA9"/>
    <w:rsid w:val="00D771CB"/>
    <w:rsid w:val="00D80574"/>
    <w:rsid w:val="00D91312"/>
    <w:rsid w:val="00D95D2A"/>
    <w:rsid w:val="00DA3A81"/>
    <w:rsid w:val="00DF14C3"/>
    <w:rsid w:val="00E04C9C"/>
    <w:rsid w:val="00E05D47"/>
    <w:rsid w:val="00E170DC"/>
    <w:rsid w:val="00E35616"/>
    <w:rsid w:val="00E373B2"/>
    <w:rsid w:val="00E47409"/>
    <w:rsid w:val="00E5791D"/>
    <w:rsid w:val="00E57AD6"/>
    <w:rsid w:val="00E64FE2"/>
    <w:rsid w:val="00E67488"/>
    <w:rsid w:val="00E7336D"/>
    <w:rsid w:val="00E74F59"/>
    <w:rsid w:val="00E76491"/>
    <w:rsid w:val="00E77CA4"/>
    <w:rsid w:val="00E91E84"/>
    <w:rsid w:val="00E933FF"/>
    <w:rsid w:val="00E93702"/>
    <w:rsid w:val="00EA243E"/>
    <w:rsid w:val="00EB5247"/>
    <w:rsid w:val="00EF0FD1"/>
    <w:rsid w:val="00F052F1"/>
    <w:rsid w:val="00F05F0D"/>
    <w:rsid w:val="00F12FE7"/>
    <w:rsid w:val="00F16C2E"/>
    <w:rsid w:val="00F20E7B"/>
    <w:rsid w:val="00F22B8E"/>
    <w:rsid w:val="00F255CB"/>
    <w:rsid w:val="00F26E4E"/>
    <w:rsid w:val="00F3677D"/>
    <w:rsid w:val="00F37252"/>
    <w:rsid w:val="00F40BCF"/>
    <w:rsid w:val="00F666D8"/>
    <w:rsid w:val="00F7211F"/>
    <w:rsid w:val="00F74373"/>
    <w:rsid w:val="00F774F5"/>
    <w:rsid w:val="00F8693A"/>
    <w:rsid w:val="00F91499"/>
    <w:rsid w:val="00F9173B"/>
    <w:rsid w:val="00F937E1"/>
    <w:rsid w:val="00F95BC1"/>
    <w:rsid w:val="00FC68DB"/>
    <w:rsid w:val="00FC75B8"/>
    <w:rsid w:val="00FD4976"/>
    <w:rsid w:val="00FE1C6E"/>
    <w:rsid w:val="00FE333F"/>
    <w:rsid w:val="00FE6771"/>
    <w:rsid w:val="00FF1F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B7207"/>
  <w14:defaultImageDpi w14:val="300"/>
  <w15:chartTrackingRefBased/>
  <w15:docId w15:val="{54E1BB28-7B13-AF45-BAD0-C1B26542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3E3"/>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BodyText"/>
    <w:link w:val="Heading1Char"/>
    <w:uiPriority w:val="9"/>
    <w:qFormat/>
    <w:rsid w:val="00B518AF"/>
    <w:pPr>
      <w:keepNext/>
      <w:spacing w:after="120"/>
      <w:jc w:val="both"/>
      <w:outlineLvl w:val="0"/>
    </w:pPr>
    <w:rPr>
      <w:rFonts w:ascii="Arial Black" w:eastAsia="MS Gothic" w:hAnsi="Arial Black"/>
      <w:bCs/>
      <w:kern w:val="32"/>
      <w:sz w:val="40"/>
      <w:szCs w:val="32"/>
    </w:rPr>
  </w:style>
  <w:style w:type="paragraph" w:styleId="Heading2">
    <w:name w:val="heading 2"/>
    <w:aliases w:val="H2"/>
    <w:basedOn w:val="Normal"/>
    <w:next w:val="BodyText"/>
    <w:link w:val="Heading2Char"/>
    <w:uiPriority w:val="9"/>
    <w:qFormat/>
    <w:rsid w:val="00B518AF"/>
    <w:pPr>
      <w:keepNext/>
      <w:tabs>
        <w:tab w:val="left" w:pos="567"/>
      </w:tabs>
      <w:spacing w:after="120"/>
      <w:ind w:left="567" w:hanging="567"/>
      <w:jc w:val="both"/>
      <w:outlineLvl w:val="1"/>
    </w:pPr>
    <w:rPr>
      <w:rFonts w:ascii="Arial Black" w:eastAsia="MS Gothic" w:hAnsi="Arial Black"/>
      <w:bCs/>
      <w:iCs/>
      <w:sz w:val="34"/>
      <w:szCs w:val="28"/>
    </w:rPr>
  </w:style>
  <w:style w:type="paragraph" w:styleId="Heading3">
    <w:name w:val="heading 3"/>
    <w:aliases w:val="H3"/>
    <w:basedOn w:val="Normal"/>
    <w:next w:val="BodyText"/>
    <w:link w:val="Heading3Char"/>
    <w:uiPriority w:val="9"/>
    <w:qFormat/>
    <w:rsid w:val="00B518AF"/>
    <w:pPr>
      <w:keepNext/>
      <w:tabs>
        <w:tab w:val="left" w:pos="709"/>
      </w:tabs>
      <w:spacing w:after="120"/>
      <w:ind w:left="709" w:hanging="709"/>
      <w:jc w:val="both"/>
      <w:outlineLvl w:val="2"/>
    </w:pPr>
    <w:rPr>
      <w:rFonts w:ascii="Arial Black" w:eastAsia="MS Gothic" w:hAnsi="Arial Black"/>
      <w:bCs/>
      <w:sz w:val="28"/>
      <w:szCs w:val="26"/>
    </w:rPr>
  </w:style>
  <w:style w:type="paragraph" w:styleId="Heading4">
    <w:name w:val="heading 4"/>
    <w:basedOn w:val="Normal"/>
    <w:next w:val="BodyText"/>
    <w:link w:val="Heading4Char"/>
    <w:uiPriority w:val="9"/>
    <w:qFormat/>
    <w:rsid w:val="00B518AF"/>
    <w:pPr>
      <w:keepNext/>
      <w:tabs>
        <w:tab w:val="left" w:pos="851"/>
      </w:tabs>
      <w:spacing w:after="120"/>
      <w:ind w:left="851" w:hanging="851"/>
      <w:jc w:val="both"/>
      <w:outlineLvl w:val="3"/>
    </w:pPr>
    <w:rPr>
      <w:rFonts w:ascii="Arial Black" w:hAnsi="Arial Black"/>
      <w:bCs/>
      <w:szCs w:val="28"/>
    </w:rPr>
  </w:style>
  <w:style w:type="paragraph" w:styleId="Heading5">
    <w:name w:val="heading 5"/>
    <w:aliases w:val="s"/>
    <w:basedOn w:val="Normal"/>
    <w:next w:val="BodyText"/>
    <w:uiPriority w:val="9"/>
    <w:qFormat/>
    <w:rsid w:val="00B518AF"/>
    <w:pPr>
      <w:spacing w:after="120"/>
      <w:jc w:val="both"/>
      <w:outlineLvl w:val="4"/>
    </w:pPr>
    <w:rPr>
      <w:rFonts w:ascii="Arial Black" w:hAnsi="Arial Black"/>
      <w:sz w:val="22"/>
      <w:szCs w:val="21"/>
    </w:rPr>
  </w:style>
  <w:style w:type="paragraph" w:styleId="Heading6">
    <w:name w:val="heading 6"/>
    <w:basedOn w:val="Normal"/>
    <w:next w:val="Normal"/>
    <w:link w:val="Heading6Char"/>
    <w:uiPriority w:val="9"/>
    <w:unhideWhenUsed/>
    <w:rsid w:val="00B518AF"/>
    <w:pPr>
      <w:spacing w:before="240" w:after="60"/>
      <w:outlineLvl w:val="5"/>
    </w:pPr>
    <w:rPr>
      <w:rFonts w:ascii="Calibri" w:eastAsia="Times New Roman" w:hAnsi="Calibri"/>
      <w:b/>
      <w:bCs/>
      <w:sz w:val="22"/>
      <w:szCs w:val="22"/>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keepLines/>
      <w:jc w:val="center"/>
      <w:outlineLvl w:val="7"/>
    </w:pPr>
    <w:rPr>
      <w:rFonts w:ascii="Arial" w:hAnsi="Arial"/>
      <w:b/>
      <w:sz w:val="20"/>
    </w:rPr>
  </w:style>
  <w:style w:type="paragraph" w:styleId="Heading9">
    <w:name w:val="heading 9"/>
    <w:basedOn w:val="Normal"/>
    <w:next w:val="Normal"/>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rsid w:val="00C633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33E3"/>
  </w:style>
  <w:style w:type="paragraph" w:styleId="BodyText">
    <w:name w:val="Body Text"/>
    <w:basedOn w:val="Normal"/>
    <w:link w:val="BodyTextChar"/>
    <w:uiPriority w:val="99"/>
    <w:unhideWhenUsed/>
    <w:qFormat/>
    <w:rsid w:val="00B518AF"/>
    <w:pPr>
      <w:spacing w:after="200"/>
      <w:jc w:val="both"/>
    </w:pPr>
    <w:rPr>
      <w:rFonts w:ascii="Arial" w:hAnsi="Arial"/>
      <w:sz w:val="21"/>
    </w:rPr>
  </w:style>
  <w:style w:type="paragraph" w:styleId="Header">
    <w:name w:val="header"/>
    <w:basedOn w:val="Normal"/>
    <w:link w:val="HeaderChar"/>
    <w:pPr>
      <w:pBdr>
        <w:bottom w:val="single" w:sz="4" w:space="1" w:color="auto"/>
      </w:pBdr>
      <w:tabs>
        <w:tab w:val="center" w:pos="4153"/>
        <w:tab w:val="right" w:pos="8306"/>
      </w:tabs>
      <w:jc w:val="right"/>
    </w:pPr>
    <w:rPr>
      <w:rFonts w:ascii="Arial Black" w:hAnsi="Arial Black"/>
      <w:bCs/>
    </w:rPr>
  </w:style>
  <w:style w:type="paragraph" w:styleId="Footer">
    <w:name w:val="footer"/>
    <w:basedOn w:val="Normal"/>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pPr>
      <w:numPr>
        <w:numId w:val="3"/>
      </w:numPr>
      <w:spacing w:after="120"/>
    </w:pPr>
    <w:rPr>
      <w:rFonts w:ascii="Arial" w:hAnsi="Arial"/>
      <w:snapToGrid w:val="0"/>
    </w:rPr>
  </w:style>
  <w:style w:type="paragraph" w:customStyle="1" w:styleId="Bullets">
    <w:name w:val="Bullets"/>
    <w:basedOn w:val="Normal"/>
    <w:pPr>
      <w:numPr>
        <w:numId w:val="5"/>
      </w:numPr>
      <w:spacing w:after="120"/>
      <w:ind w:left="357" w:hanging="357"/>
      <w:jc w:val="both"/>
    </w:pPr>
    <w:rPr>
      <w:rFonts w:ascii="Arial" w:hAnsi="Arial"/>
      <w:snapToGrid w:val="0"/>
    </w:rPr>
  </w:style>
  <w:style w:type="paragraph" w:customStyle="1" w:styleId="Continuationtest">
    <w:name w:val="Continuation test"/>
    <w:basedOn w:val="BodyText"/>
    <w:next w:val="BodyText"/>
    <w:pPr>
      <w:spacing w:after="240"/>
    </w:pPr>
    <w:rPr>
      <w:b/>
      <w:i/>
      <w:snapToGrid w:val="0"/>
      <w:color w:val="000000"/>
      <w:sz w:val="18"/>
    </w:rPr>
  </w:style>
  <w:style w:type="paragraph" w:customStyle="1" w:styleId="Dashedpoints">
    <w:name w:val="Dashed points"/>
    <w:basedOn w:val="BodyText"/>
    <w:pPr>
      <w:numPr>
        <w:numId w:val="1"/>
      </w:numPr>
      <w:tabs>
        <w:tab w:val="clear" w:pos="360"/>
      </w:tabs>
      <w:ind w:left="567" w:hanging="283"/>
    </w:pPr>
    <w:rPr>
      <w:snapToGrid w:val="0"/>
      <w:color w:val="000000"/>
    </w:rPr>
  </w:style>
  <w:style w:type="paragraph" w:customStyle="1" w:styleId="ColourfulListAccent31">
    <w:name w:val="Colourful List – Accent 31"/>
    <w:basedOn w:val="BodyText"/>
    <w:qFormat/>
    <w:pPr>
      <w:ind w:left="720"/>
    </w:pPr>
    <w:rPr>
      <w:i/>
      <w:snapToGrid w:val="0"/>
    </w:rPr>
  </w:style>
  <w:style w:type="paragraph" w:customStyle="1" w:styleId="ExampleHeading">
    <w:name w:val="Example Heading"/>
    <w:basedOn w:val="Normal"/>
    <w:next w:val="ExampleText"/>
    <w:link w:val="ExampleHeadingChar1"/>
    <w:qFormat/>
    <w:rsid w:val="00B518AF"/>
    <w:pPr>
      <w:pBdr>
        <w:top w:val="single" w:sz="18" w:space="6" w:color="auto"/>
        <w:left w:val="single" w:sz="18" w:space="4" w:color="auto"/>
        <w:bottom w:val="single" w:sz="18" w:space="6" w:color="auto"/>
        <w:right w:val="single" w:sz="18" w:space="4" w:color="auto"/>
      </w:pBdr>
      <w:spacing w:before="120" w:after="120"/>
      <w:jc w:val="both"/>
      <w:outlineLvl w:val="4"/>
    </w:pPr>
    <w:rPr>
      <w:rFonts w:ascii="Arial Black" w:hAnsi="Arial Black"/>
      <w:szCs w:val="21"/>
    </w:rPr>
  </w:style>
  <w:style w:type="paragraph" w:customStyle="1" w:styleId="ExampleText">
    <w:name w:val="Example Text"/>
    <w:basedOn w:val="BodyText"/>
    <w:link w:val="ExampleTextChar"/>
    <w:qFormat/>
    <w:rsid w:val="00B518AF"/>
    <w:pPr>
      <w:pBdr>
        <w:top w:val="single" w:sz="18" w:space="6" w:color="auto"/>
        <w:left w:val="single" w:sz="18" w:space="4" w:color="auto"/>
        <w:bottom w:val="single" w:sz="18" w:space="6" w:color="auto"/>
        <w:right w:val="single" w:sz="18" w:space="4" w:color="auto"/>
      </w:pBdr>
      <w:spacing w:after="160"/>
    </w:pPr>
  </w:style>
  <w:style w:type="paragraph" w:styleId="TableofAuthorities">
    <w:name w:val="table of authorities"/>
    <w:basedOn w:val="Normal"/>
    <w:next w:val="Normal"/>
    <w:semiHidden/>
    <w:pPr>
      <w:ind w:left="210" w:hanging="210"/>
    </w:pPr>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paragraph" w:styleId="ListBullet">
    <w:name w:val="List Bullet"/>
    <w:basedOn w:val="Normal"/>
    <w:autoRedefine/>
    <w:pPr>
      <w:numPr>
        <w:numId w:val="4"/>
      </w:numPr>
    </w:pPr>
  </w:style>
  <w:style w:type="paragraph" w:styleId="BodyTextIndent">
    <w:name w:val="Body Text Indent"/>
    <w:basedOn w:val="Normal"/>
    <w:pPr>
      <w:ind w:left="-18"/>
      <w:jc w:val="center"/>
    </w:pPr>
    <w:rPr>
      <w:rFonts w:ascii="Arial" w:hAnsi="Arial"/>
      <w:b/>
      <w:sz w:val="18"/>
    </w:rPr>
  </w:style>
  <w:style w:type="paragraph" w:customStyle="1" w:styleId="AlphaPoints0">
    <w:name w:val="Alpha Points"/>
    <w:basedOn w:val="BodyText"/>
    <w:pPr>
      <w:numPr>
        <w:numId w:val="2"/>
      </w:numPr>
      <w:tabs>
        <w:tab w:val="clear" w:pos="720"/>
      </w:tabs>
      <w:spacing w:after="60"/>
      <w:ind w:left="426" w:hanging="426"/>
    </w:pPr>
  </w:style>
  <w:style w:type="paragraph" w:customStyle="1" w:styleId="Note">
    <w:name w:val="Note"/>
    <w:basedOn w:val="BodyText"/>
    <w:pPr>
      <w:ind w:left="284" w:hanging="284"/>
    </w:pPr>
    <w:rPr>
      <w:i/>
      <w:iCs/>
      <w:sz w:val="19"/>
    </w:rPr>
  </w:style>
  <w:style w:type="table" w:styleId="TableGrid">
    <w:name w:val="Table Grid"/>
    <w:basedOn w:val="TableNormal"/>
    <w:uiPriority w:val="59"/>
    <w:rsid w:val="00B518A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12E3"/>
    <w:rPr>
      <w:rFonts w:ascii="Tahoma" w:hAnsi="Tahoma" w:cs="Tahoma"/>
      <w:sz w:val="16"/>
      <w:szCs w:val="16"/>
    </w:rPr>
  </w:style>
  <w:style w:type="character" w:customStyle="1" w:styleId="HeaderChar">
    <w:name w:val="Header Char"/>
    <w:link w:val="Header"/>
    <w:rsid w:val="00CC158A"/>
    <w:rPr>
      <w:rFonts w:ascii="Arial Black" w:hAnsi="Arial Black"/>
      <w:bCs/>
      <w:sz w:val="24"/>
    </w:rPr>
  </w:style>
  <w:style w:type="character" w:styleId="CommentReference">
    <w:name w:val="annotation reference"/>
    <w:rsid w:val="00684040"/>
    <w:rPr>
      <w:sz w:val="18"/>
      <w:szCs w:val="18"/>
    </w:rPr>
  </w:style>
  <w:style w:type="paragraph" w:styleId="CommentText">
    <w:name w:val="annotation text"/>
    <w:basedOn w:val="Normal"/>
    <w:link w:val="CommentTextChar"/>
    <w:rsid w:val="00684040"/>
  </w:style>
  <w:style w:type="character" w:customStyle="1" w:styleId="CommentTextChar">
    <w:name w:val="Comment Text Char"/>
    <w:link w:val="CommentText"/>
    <w:rsid w:val="00684040"/>
    <w:rPr>
      <w:sz w:val="24"/>
      <w:szCs w:val="24"/>
    </w:rPr>
  </w:style>
  <w:style w:type="paragraph" w:styleId="CommentSubject">
    <w:name w:val="annotation subject"/>
    <w:basedOn w:val="CommentText"/>
    <w:next w:val="CommentText"/>
    <w:link w:val="CommentSubjectChar"/>
    <w:rsid w:val="00684040"/>
    <w:rPr>
      <w:b/>
      <w:bCs/>
      <w:sz w:val="20"/>
      <w:szCs w:val="20"/>
    </w:rPr>
  </w:style>
  <w:style w:type="character" w:customStyle="1" w:styleId="CommentSubjectChar">
    <w:name w:val="Comment Subject Char"/>
    <w:link w:val="CommentSubject"/>
    <w:rsid w:val="00684040"/>
    <w:rPr>
      <w:b/>
      <w:bCs/>
      <w:sz w:val="24"/>
      <w:szCs w:val="24"/>
    </w:rPr>
  </w:style>
  <w:style w:type="character" w:customStyle="1" w:styleId="ExampleTextChar">
    <w:name w:val="Example Text Char"/>
    <w:link w:val="ExampleText"/>
    <w:rsid w:val="00B518AF"/>
    <w:rPr>
      <w:rFonts w:ascii="Arial" w:eastAsia="MS Mincho" w:hAnsi="Arial"/>
      <w:sz w:val="21"/>
      <w:szCs w:val="24"/>
      <w:lang w:val="en-US" w:eastAsia="en-US"/>
    </w:rPr>
  </w:style>
  <w:style w:type="character" w:customStyle="1" w:styleId="ExampleHeadingChar1">
    <w:name w:val="Example Heading Char1"/>
    <w:link w:val="ExampleHeading"/>
    <w:rsid w:val="00C00AC0"/>
    <w:rPr>
      <w:rFonts w:ascii="Arial Black" w:eastAsia="MS Mincho" w:hAnsi="Arial Black"/>
      <w:sz w:val="24"/>
      <w:szCs w:val="21"/>
      <w:lang w:eastAsia="en-US"/>
    </w:rPr>
  </w:style>
  <w:style w:type="character" w:styleId="FollowedHyperlink">
    <w:name w:val="FollowedHyperlink"/>
    <w:rsid w:val="004009A8"/>
    <w:rPr>
      <w:color w:val="954F72"/>
      <w:u w:val="single"/>
    </w:rPr>
  </w:style>
  <w:style w:type="character" w:customStyle="1" w:styleId="BodyTextChar">
    <w:name w:val="Body Text Char"/>
    <w:link w:val="BodyText"/>
    <w:uiPriority w:val="99"/>
    <w:rsid w:val="00B518AF"/>
    <w:rPr>
      <w:rFonts w:ascii="Arial" w:eastAsia="MS Mincho" w:hAnsi="Arial"/>
      <w:sz w:val="21"/>
      <w:szCs w:val="24"/>
      <w:lang w:val="en-US" w:eastAsia="en-US"/>
    </w:rPr>
  </w:style>
  <w:style w:type="character" w:customStyle="1" w:styleId="Heading1Char">
    <w:name w:val="Heading 1 Char"/>
    <w:link w:val="Heading1"/>
    <w:uiPriority w:val="9"/>
    <w:rsid w:val="00B518AF"/>
    <w:rPr>
      <w:rFonts w:ascii="Arial Black" w:eastAsia="MS Gothic" w:hAnsi="Arial Black"/>
      <w:bCs/>
      <w:kern w:val="32"/>
      <w:sz w:val="40"/>
      <w:szCs w:val="32"/>
      <w:lang w:eastAsia="en-US"/>
    </w:rPr>
  </w:style>
  <w:style w:type="character" w:customStyle="1" w:styleId="Heading2Char">
    <w:name w:val="Heading 2 Char"/>
    <w:aliases w:val="H2 Char"/>
    <w:link w:val="Heading2"/>
    <w:uiPriority w:val="9"/>
    <w:rsid w:val="00B518AF"/>
    <w:rPr>
      <w:rFonts w:ascii="Arial Black" w:eastAsia="MS Gothic" w:hAnsi="Arial Black"/>
      <w:bCs/>
      <w:iCs/>
      <w:sz w:val="34"/>
      <w:szCs w:val="28"/>
      <w:lang w:eastAsia="en-US"/>
    </w:rPr>
  </w:style>
  <w:style w:type="character" w:customStyle="1" w:styleId="Heading3Char">
    <w:name w:val="Heading 3 Char"/>
    <w:aliases w:val="H3 Char"/>
    <w:link w:val="Heading3"/>
    <w:uiPriority w:val="9"/>
    <w:rsid w:val="00B518AF"/>
    <w:rPr>
      <w:rFonts w:ascii="Arial Black" w:eastAsia="MS Gothic" w:hAnsi="Arial Black"/>
      <w:bCs/>
      <w:sz w:val="28"/>
      <w:szCs w:val="26"/>
      <w:lang w:eastAsia="en-US"/>
    </w:rPr>
  </w:style>
  <w:style w:type="character" w:customStyle="1" w:styleId="Heading4Char">
    <w:name w:val="Heading 4 Char"/>
    <w:link w:val="Heading4"/>
    <w:uiPriority w:val="9"/>
    <w:rsid w:val="00B518AF"/>
    <w:rPr>
      <w:rFonts w:ascii="Arial Black" w:eastAsia="MS Mincho" w:hAnsi="Arial Black"/>
      <w:bCs/>
      <w:sz w:val="24"/>
      <w:szCs w:val="28"/>
      <w:lang w:eastAsia="en-US"/>
    </w:rPr>
  </w:style>
  <w:style w:type="character" w:customStyle="1" w:styleId="Heading6Char">
    <w:name w:val="Heading 6 Char"/>
    <w:link w:val="Heading6"/>
    <w:uiPriority w:val="9"/>
    <w:rsid w:val="00B518AF"/>
    <w:rPr>
      <w:rFonts w:ascii="Calibri" w:hAnsi="Calibri"/>
      <w:b/>
      <w:bCs/>
      <w:sz w:val="22"/>
      <w:szCs w:val="22"/>
      <w:lang w:val="en-US" w:eastAsia="en-US"/>
    </w:rPr>
  </w:style>
  <w:style w:type="paragraph" w:customStyle="1" w:styleId="Bullets1stlevel">
    <w:name w:val="Bullets 1st level"/>
    <w:basedOn w:val="BodyText"/>
    <w:link w:val="Bullets1stlevelChar"/>
    <w:qFormat/>
    <w:rsid w:val="00B518AF"/>
    <w:pPr>
      <w:numPr>
        <w:numId w:val="10"/>
      </w:numPr>
      <w:spacing w:after="120"/>
    </w:pPr>
  </w:style>
  <w:style w:type="character" w:customStyle="1" w:styleId="Bullets1stlevelChar">
    <w:name w:val="Bullets 1st level Char"/>
    <w:link w:val="Bullets1stlevel"/>
    <w:rsid w:val="00B518AF"/>
    <w:rPr>
      <w:rFonts w:ascii="Arial" w:eastAsiaTheme="minorEastAsia" w:hAnsi="Arial" w:cstheme="minorBidi"/>
      <w:kern w:val="2"/>
      <w:sz w:val="21"/>
      <w:szCs w:val="24"/>
      <w:lang w:eastAsia="zh-CN"/>
      <w14:ligatures w14:val="standardContextual"/>
    </w:rPr>
  </w:style>
  <w:style w:type="paragraph" w:customStyle="1" w:styleId="Numberpoints">
    <w:name w:val="Number points"/>
    <w:basedOn w:val="BodyText"/>
    <w:qFormat/>
    <w:rsid w:val="00B518AF"/>
    <w:pPr>
      <w:numPr>
        <w:numId w:val="18"/>
      </w:numPr>
      <w:tabs>
        <w:tab w:val="clear" w:pos="57"/>
        <w:tab w:val="left" w:pos="284"/>
      </w:tabs>
      <w:spacing w:after="160"/>
      <w:ind w:left="284" w:hanging="284"/>
    </w:pPr>
  </w:style>
  <w:style w:type="paragraph" w:customStyle="1" w:styleId="Dash2ndlevelunderbullet">
    <w:name w:val="Dash 2nd level under bullet"/>
    <w:basedOn w:val="BodyText"/>
    <w:qFormat/>
    <w:rsid w:val="00B518AF"/>
    <w:pPr>
      <w:numPr>
        <w:numId w:val="9"/>
      </w:numPr>
      <w:spacing w:after="120"/>
      <w:ind w:left="568" w:hanging="284"/>
    </w:pPr>
  </w:style>
  <w:style w:type="table" w:customStyle="1" w:styleId="TableRowChar">
    <w:name w:val="Table Row Char"/>
    <w:basedOn w:val="TableNormal"/>
    <w:next w:val="TableNormal"/>
    <w:uiPriority w:val="99"/>
    <w:rsid w:val="00B518AF"/>
    <w:rPr>
      <w:rFonts w:ascii="Cambria" w:eastAsia="MS Mincho"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jc w:val="center"/>
      </w:pPr>
      <w:rPr>
        <w:rFonts w:ascii="Symbol" w:hAnsi="Symbol"/>
        <w:sz w:val="24"/>
      </w:rPr>
      <w:tblPr/>
      <w:tcPr>
        <w:tcBorders>
          <w:top w:val="double" w:sz="12" w:space="0" w:color="auto"/>
          <w:left w:val="double" w:sz="12" w:space="0" w:color="auto"/>
          <w:bottom w:val="double" w:sz="12" w:space="0" w:color="auto"/>
          <w:right w:val="double" w:sz="12" w:space="0" w:color="auto"/>
          <w:insideH w:val="nil"/>
          <w:insideV w:val="nil"/>
          <w:tl2br w:val="nil"/>
          <w:tr2bl w:val="nil"/>
        </w:tcBorders>
        <w:shd w:val="clear" w:color="auto" w:fill="0C0C0C"/>
      </w:tcPr>
    </w:tblStylePr>
    <w:tblStylePr w:type="lastRow">
      <w:rPr>
        <w:i/>
        <w:iCs/>
      </w:rPr>
    </w:tblStylePr>
    <w:tblStylePr w:type="firstCol">
      <w:rPr>
        <w:rFonts w:ascii="Symbol" w:hAnsi="Symbol"/>
      </w:rPr>
    </w:tblStylePr>
    <w:tblStylePr w:type="lastCol">
      <w:rPr>
        <w:i/>
        <w:iCs/>
      </w:rPr>
    </w:tblStylePr>
  </w:style>
  <w:style w:type="paragraph" w:customStyle="1" w:styleId="Footnote">
    <w:name w:val="Footnote"/>
    <w:basedOn w:val="BodyText"/>
    <w:qFormat/>
    <w:rsid w:val="00B518AF"/>
    <w:pPr>
      <w:tabs>
        <w:tab w:val="left" w:pos="284"/>
      </w:tabs>
      <w:spacing w:after="120"/>
      <w:ind w:left="284" w:hanging="284"/>
    </w:pPr>
    <w:rPr>
      <w:i/>
      <w:sz w:val="19"/>
    </w:rPr>
  </w:style>
  <w:style w:type="paragraph" w:customStyle="1" w:styleId="Alphapoints">
    <w:name w:val="Alpha points"/>
    <w:basedOn w:val="BodyText"/>
    <w:qFormat/>
    <w:rsid w:val="00B518AF"/>
    <w:pPr>
      <w:numPr>
        <w:numId w:val="7"/>
      </w:numPr>
      <w:tabs>
        <w:tab w:val="left" w:pos="425"/>
      </w:tabs>
      <w:spacing w:after="160"/>
    </w:pPr>
  </w:style>
  <w:style w:type="paragraph" w:customStyle="1" w:styleId="RomanNumberals">
    <w:name w:val="Roman Numberals"/>
    <w:basedOn w:val="Alphapoints"/>
    <w:autoRedefine/>
    <w:qFormat/>
    <w:rsid w:val="00B518AF"/>
    <w:pPr>
      <w:numPr>
        <w:numId w:val="0"/>
      </w:numPr>
      <w:tabs>
        <w:tab w:val="num" w:pos="360"/>
      </w:tabs>
      <w:ind w:left="360" w:hanging="360"/>
    </w:pPr>
  </w:style>
  <w:style w:type="paragraph" w:styleId="Quote">
    <w:name w:val="Quote"/>
    <w:basedOn w:val="BodyText"/>
    <w:link w:val="QuoteChar"/>
    <w:uiPriority w:val="73"/>
    <w:qFormat/>
    <w:rsid w:val="00B518AF"/>
    <w:pPr>
      <w:spacing w:before="200" w:after="160"/>
      <w:ind w:left="709" w:right="-7"/>
    </w:pPr>
    <w:rPr>
      <w:i/>
      <w:iCs/>
      <w:color w:val="000000"/>
    </w:rPr>
  </w:style>
  <w:style w:type="character" w:customStyle="1" w:styleId="QuoteChar">
    <w:name w:val="Quote Char"/>
    <w:link w:val="Quote"/>
    <w:uiPriority w:val="73"/>
    <w:rsid w:val="00B518AF"/>
    <w:rPr>
      <w:rFonts w:ascii="Arial" w:eastAsia="MS Mincho" w:hAnsi="Arial"/>
      <w:i/>
      <w:iCs/>
      <w:color w:val="000000"/>
      <w:sz w:val="21"/>
      <w:szCs w:val="24"/>
      <w:lang w:val="en-US" w:eastAsia="en-US"/>
    </w:rPr>
  </w:style>
  <w:style w:type="paragraph" w:customStyle="1" w:styleId="Dashpoint3rdlevel">
    <w:name w:val="Dash point 3rd level"/>
    <w:basedOn w:val="Dash2ndlevelunderbullet"/>
    <w:qFormat/>
    <w:rsid w:val="00B518AF"/>
    <w:pPr>
      <w:numPr>
        <w:numId w:val="14"/>
      </w:numPr>
      <w:tabs>
        <w:tab w:val="left" w:pos="851"/>
      </w:tabs>
    </w:pPr>
  </w:style>
  <w:style w:type="paragraph" w:customStyle="1" w:styleId="BulletunderNumberpoint">
    <w:name w:val="Bullet under Number point"/>
    <w:basedOn w:val="BodyText"/>
    <w:link w:val="BulletunderNumberpointChar"/>
    <w:qFormat/>
    <w:rsid w:val="00B518AF"/>
    <w:pPr>
      <w:numPr>
        <w:numId w:val="15"/>
      </w:numPr>
      <w:spacing w:after="120"/>
    </w:pPr>
  </w:style>
  <w:style w:type="character" w:customStyle="1" w:styleId="BulletunderNumberpointChar">
    <w:name w:val="Bullet under Number point Char"/>
    <w:link w:val="BulletunderNumberpoint"/>
    <w:rsid w:val="00B518AF"/>
    <w:rPr>
      <w:rFonts w:ascii="Arial" w:eastAsiaTheme="minorEastAsia" w:hAnsi="Arial" w:cstheme="minorBidi"/>
      <w:kern w:val="2"/>
      <w:sz w:val="21"/>
      <w:szCs w:val="24"/>
      <w:lang w:eastAsia="zh-CN"/>
      <w14:ligatures w14:val="standardContextual"/>
    </w:rPr>
  </w:style>
  <w:style w:type="paragraph" w:customStyle="1" w:styleId="Bulletsinexample">
    <w:name w:val="Bullets in example"/>
    <w:basedOn w:val="ExampleText"/>
    <w:qFormat/>
    <w:rsid w:val="00B518AF"/>
    <w:pPr>
      <w:numPr>
        <w:numId w:val="12"/>
      </w:numPr>
      <w:spacing w:after="120"/>
    </w:pPr>
  </w:style>
  <w:style w:type="paragraph" w:customStyle="1" w:styleId="Numberpointsinexample">
    <w:name w:val="Number points in example"/>
    <w:basedOn w:val="Bulletsinexample"/>
    <w:qFormat/>
    <w:rsid w:val="00B518AF"/>
    <w:pPr>
      <w:numPr>
        <w:numId w:val="16"/>
      </w:numPr>
    </w:pPr>
  </w:style>
  <w:style w:type="paragraph" w:customStyle="1" w:styleId="Alphapointsinexample">
    <w:name w:val="Alpha points in example"/>
    <w:basedOn w:val="ExampleText"/>
    <w:link w:val="AlphapointsinexampleChar"/>
    <w:qFormat/>
    <w:rsid w:val="00B518AF"/>
    <w:pPr>
      <w:numPr>
        <w:numId w:val="17"/>
      </w:numPr>
    </w:pPr>
  </w:style>
  <w:style w:type="character" w:customStyle="1" w:styleId="AlphapointsinexampleChar">
    <w:name w:val="Alpha points in example Char"/>
    <w:basedOn w:val="ExampleTextChar"/>
    <w:link w:val="Alphapointsinexample"/>
    <w:rsid w:val="00B518AF"/>
    <w:rPr>
      <w:rFonts w:ascii="Arial" w:eastAsiaTheme="minorEastAsia" w:hAnsi="Arial" w:cstheme="minorBidi"/>
      <w:kern w:val="2"/>
      <w:sz w:val="21"/>
      <w:szCs w:val="24"/>
      <w:lang w:val="en-US" w:eastAsia="zh-CN"/>
      <w14:ligatures w14:val="standardContextual"/>
    </w:rPr>
  </w:style>
  <w:style w:type="paragraph" w:customStyle="1" w:styleId="Bulletunderalphapoint">
    <w:name w:val="Bullet under alpha point"/>
    <w:basedOn w:val="BodyText"/>
    <w:link w:val="BulletunderalphapointChar"/>
    <w:qFormat/>
    <w:rsid w:val="00B518AF"/>
    <w:pPr>
      <w:numPr>
        <w:numId w:val="13"/>
      </w:numPr>
      <w:spacing w:after="120"/>
    </w:pPr>
  </w:style>
  <w:style w:type="character" w:customStyle="1" w:styleId="BulletunderalphapointChar">
    <w:name w:val="Bullet under alpha point Char"/>
    <w:basedOn w:val="BodyTextChar"/>
    <w:link w:val="Bulletunderalphapoint"/>
    <w:rsid w:val="00B518AF"/>
    <w:rPr>
      <w:rFonts w:ascii="Arial" w:eastAsiaTheme="minorEastAsia" w:hAnsi="Arial" w:cstheme="minorBidi"/>
      <w:kern w:val="2"/>
      <w:sz w:val="21"/>
      <w:szCs w:val="24"/>
      <w:lang w:val="en-US" w:eastAsia="zh-CN"/>
      <w14:ligatures w14:val="standardContextual"/>
    </w:rPr>
  </w:style>
  <w:style w:type="paragraph" w:customStyle="1" w:styleId="AlphapointsunderNumberpoints">
    <w:name w:val="Alpha points under Number points"/>
    <w:basedOn w:val="BulletunderNumberpoint"/>
    <w:link w:val="AlphapointsunderNumberpointsChar"/>
    <w:qFormat/>
    <w:rsid w:val="00B518AF"/>
    <w:pPr>
      <w:numPr>
        <w:numId w:val="11"/>
      </w:numPr>
      <w:spacing w:after="160"/>
      <w:ind w:left="709" w:hanging="425"/>
    </w:pPr>
    <w:rPr>
      <w:szCs w:val="21"/>
    </w:rPr>
  </w:style>
  <w:style w:type="character" w:customStyle="1" w:styleId="AlphapointsunderNumberpointsChar">
    <w:name w:val="Alpha points under Number points Char"/>
    <w:link w:val="AlphapointsunderNumberpoints"/>
    <w:rsid w:val="00B518AF"/>
    <w:rPr>
      <w:rFonts w:ascii="Arial" w:eastAsiaTheme="minorEastAsia" w:hAnsi="Arial" w:cstheme="minorBidi"/>
      <w:kern w:val="2"/>
      <w:sz w:val="21"/>
      <w:szCs w:val="21"/>
      <w:lang w:eastAsia="zh-CN"/>
      <w14:ligatures w14:val="standardContextual"/>
    </w:rPr>
  </w:style>
  <w:style w:type="paragraph" w:customStyle="1" w:styleId="Bulletsunderalpha3rdlevel">
    <w:name w:val="Bullets under alpha 3rd level"/>
    <w:basedOn w:val="Dashpoint3rdlevel"/>
    <w:qFormat/>
    <w:rsid w:val="00B518AF"/>
    <w:pPr>
      <w:numPr>
        <w:numId w:val="8"/>
      </w:numPr>
      <w:tabs>
        <w:tab w:val="clear" w:pos="851"/>
        <w:tab w:val="left" w:pos="992"/>
      </w:tabs>
      <w:ind w:left="1071" w:hanging="425"/>
    </w:pPr>
  </w:style>
  <w:style w:type="paragraph" w:customStyle="1" w:styleId="2020">
    <w:name w:val="2020"/>
    <w:basedOn w:val="BodyText"/>
    <w:link w:val="2020Char"/>
    <w:qFormat/>
    <w:rsid w:val="00B518AF"/>
  </w:style>
  <w:style w:type="character" w:customStyle="1" w:styleId="2020Char">
    <w:name w:val="2020 Char"/>
    <w:basedOn w:val="BodyTextChar"/>
    <w:link w:val="2020"/>
    <w:rsid w:val="00B518AF"/>
    <w:rPr>
      <w:rFonts w:ascii="Arial" w:eastAsia="MS Mincho" w:hAnsi="Arial"/>
      <w:sz w:val="21"/>
      <w:szCs w:val="24"/>
      <w:lang w:val="en-US" w:eastAsia="en-US"/>
    </w:rPr>
  </w:style>
  <w:style w:type="table" w:styleId="PlainTable3">
    <w:name w:val="Plain Table 3"/>
    <w:basedOn w:val="TableNormal"/>
    <w:uiPriority w:val="19"/>
    <w:rsid w:val="00B518AF"/>
    <w:rPr>
      <w:rFonts w:ascii="Cambria" w:eastAsia="MS Mincho" w:hAnsi="Cambr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21"/>
    <w:rsid w:val="00B518AF"/>
    <w:rPr>
      <w:rFonts w:ascii="Cambria" w:eastAsia="MS Mincho" w:hAnsi="Cambr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31"/>
    <w:rsid w:val="00B518AF"/>
    <w:rPr>
      <w:rFonts w:ascii="Cambria" w:eastAsia="MS Mincho" w:hAnsi="Cambr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32"/>
    <w:rsid w:val="00B518AF"/>
    <w:rPr>
      <w:rFonts w:ascii="Cambria" w:eastAsia="MS Mincho" w:hAnsi="Cambr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72"/>
    <w:rsid w:val="00B518AF"/>
    <w:rPr>
      <w:rFonts w:ascii="Cambria" w:eastAsia="MS Mincho" w:hAnsi="Cambr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otes">
    <w:name w:val="Quotes"/>
    <w:basedOn w:val="Quote"/>
    <w:qFormat/>
    <w:rsid w:val="00B518AF"/>
  </w:style>
  <w:style w:type="paragraph" w:styleId="Revision">
    <w:name w:val="Revision"/>
    <w:hidden/>
    <w:uiPriority w:val="71"/>
    <w:rsid w:val="00B30470"/>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8684">
      <w:bodyDiv w:val="1"/>
      <w:marLeft w:val="0"/>
      <w:marRight w:val="0"/>
      <w:marTop w:val="0"/>
      <w:marBottom w:val="0"/>
      <w:divBdr>
        <w:top w:val="none" w:sz="0" w:space="0" w:color="auto"/>
        <w:left w:val="none" w:sz="0" w:space="0" w:color="auto"/>
        <w:bottom w:val="none" w:sz="0" w:space="0" w:color="auto"/>
        <w:right w:val="none" w:sz="0" w:space="0" w:color="auto"/>
      </w:divBdr>
    </w:div>
    <w:div w:id="969823669">
      <w:bodyDiv w:val="1"/>
      <w:marLeft w:val="0"/>
      <w:marRight w:val="0"/>
      <w:marTop w:val="0"/>
      <w:marBottom w:val="0"/>
      <w:divBdr>
        <w:top w:val="none" w:sz="0" w:space="0" w:color="auto"/>
        <w:left w:val="none" w:sz="0" w:space="0" w:color="auto"/>
        <w:bottom w:val="none" w:sz="0" w:space="0" w:color="auto"/>
        <w:right w:val="none" w:sz="0" w:space="0" w:color="auto"/>
      </w:divBdr>
    </w:div>
    <w:div w:id="14316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to.gov.au/General/Trusts/In-detail/Trust-tax-time-toolkit/Resolutions-checklist/"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34F2FD854DC4B8B4B679DA3CB6726" ma:contentTypeVersion="15" ma:contentTypeDescription="Create a new document." ma:contentTypeScope="" ma:versionID="a7565f10c95b979cc4a428b2ee5fb9cb">
  <xsd:schema xmlns:xsd="http://www.w3.org/2001/XMLSchema" xmlns:xs="http://www.w3.org/2001/XMLSchema" xmlns:p="http://schemas.microsoft.com/office/2006/metadata/properties" xmlns:ns2="812200f6-e849-4ba5-9c8a-18e181f3260d" xmlns:ns3="966d064f-8d5f-4b74-9094-178d7efbfc8f" targetNamespace="http://schemas.microsoft.com/office/2006/metadata/properties" ma:root="true" ma:fieldsID="860c20cc3094bbc58e9891996cd5b427" ns2:_="" ns3:_="">
    <xsd:import namespace="812200f6-e849-4ba5-9c8a-18e181f3260d"/>
    <xsd:import namespace="966d064f-8d5f-4b74-9094-178d7efbfc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00f6-e849-4ba5-9c8a-18e181f32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2e9066-5a79-40ad-b82b-6878882e0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d064f-8d5f-4b74-9094-178d7efbfc8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dda2b38-14e9-4004-a335-24621c6ff6c6}" ma:internalName="TaxCatchAll" ma:showField="CatchAllData" ma:web="966d064f-8d5f-4b74-9094-178d7efbf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6d064f-8d5f-4b74-9094-178d7efbfc8f" xsi:nil="true"/>
    <lcf76f155ced4ddcb4097134ff3c332f xmlns="812200f6-e849-4ba5-9c8a-18e181f326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31307-CC28-489A-AF9F-B3883F0CAC7C}"/>
</file>

<file path=customXml/itemProps2.xml><?xml version="1.0" encoding="utf-8"?>
<ds:datastoreItem xmlns:ds="http://schemas.openxmlformats.org/officeDocument/2006/customXml" ds:itemID="{C2E9EEAA-7F72-45BC-89E2-7C05246EBD7D}"/>
</file>

<file path=customXml/itemProps3.xml><?xml version="1.0" encoding="utf-8"?>
<ds:datastoreItem xmlns:ds="http://schemas.openxmlformats.org/officeDocument/2006/customXml" ds:itemID="{24D912D8-83D1-4F41-9345-347772727CCF}"/>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7117</CharactersWithSpaces>
  <SharedDoc>false</SharedDoc>
  <HLinks>
    <vt:vector size="6" baseType="variant">
      <vt:variant>
        <vt:i4>6160490</vt:i4>
      </vt:variant>
      <vt:variant>
        <vt:i4>0</vt:i4>
      </vt:variant>
      <vt:variant>
        <vt:i4>0</vt:i4>
      </vt:variant>
      <vt:variant>
        <vt:i4>5</vt:i4>
      </vt:variant>
      <vt:variant>
        <vt:lpwstr>https://www.ato.gov.au/General/Trusts/In-detail/Trust-tax-time-toolkit/Resolutions-checklist/</vt:lpwstr>
      </vt:variant>
      <vt:variant>
        <vt:lpwstr>_Are_you_seeking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QIRONG PAN</cp:lastModifiedBy>
  <cp:revision>3</cp:revision>
  <cp:lastPrinted>2023-08-22T01:52:00Z</cp:lastPrinted>
  <dcterms:created xsi:type="dcterms:W3CDTF">2025-06-24T05:14:00Z</dcterms:created>
  <dcterms:modified xsi:type="dcterms:W3CDTF">2025-06-24T05:14:00Z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0x01010046E34F2FD854DC4B8B4B679DA3CB6726</vt:lpwstr>
  </property>
</Properties>
</file>